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E277" w14:textId="568748FD" w:rsidR="00B619E5" w:rsidRDefault="00B619E5">
      <w:r w:rsidRPr="00BA0E87">
        <w:rPr>
          <w:noProof/>
        </w:rPr>
        <w:drawing>
          <wp:inline distT="0" distB="0" distL="0" distR="0" wp14:anchorId="1F07FF75" wp14:editId="407096D0">
            <wp:extent cx="6645634" cy="10167408"/>
            <wp:effectExtent l="0" t="0" r="3175" b="5715"/>
            <wp:docPr id="188786346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2085" cy="10192577"/>
                    </a:xfrm>
                    <a:prstGeom prst="rect">
                      <a:avLst/>
                    </a:prstGeom>
                    <a:noFill/>
                    <a:ln>
                      <a:noFill/>
                    </a:ln>
                  </pic:spPr>
                </pic:pic>
              </a:graphicData>
            </a:graphic>
          </wp:inline>
        </w:drawing>
      </w:r>
    </w:p>
    <w:p w14:paraId="01573DEC" w14:textId="7EFF2DA0" w:rsidR="0043736F" w:rsidRDefault="0043736F" w:rsidP="0043736F">
      <w:pPr>
        <w:ind w:firstLine="1296"/>
      </w:pPr>
      <w:r w:rsidRPr="0043736F">
        <w:rPr>
          <w:noProof/>
        </w:rPr>
        <w:lastRenderedPageBreak/>
        <w:drawing>
          <wp:inline distT="0" distB="0" distL="0" distR="0" wp14:anchorId="739520BE" wp14:editId="31371451">
            <wp:extent cx="6298354" cy="4303158"/>
            <wp:effectExtent l="0" t="0" r="7620" b="2540"/>
            <wp:docPr id="192052938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6988" cy="4343218"/>
                    </a:xfrm>
                    <a:prstGeom prst="rect">
                      <a:avLst/>
                    </a:prstGeom>
                    <a:noFill/>
                    <a:ln>
                      <a:noFill/>
                    </a:ln>
                  </pic:spPr>
                </pic:pic>
              </a:graphicData>
            </a:graphic>
          </wp:inline>
        </w:drawing>
      </w:r>
    </w:p>
    <w:p w14:paraId="100275D1" w14:textId="323DA106" w:rsidR="00B619E5" w:rsidRDefault="00B619E5">
      <w:r w:rsidRPr="0043736F">
        <w:br w:type="page"/>
      </w:r>
      <w:r w:rsidR="000449F4" w:rsidRPr="000449F4">
        <w:rPr>
          <w:noProof/>
        </w:rPr>
        <w:lastRenderedPageBreak/>
        <w:drawing>
          <wp:inline distT="0" distB="0" distL="0" distR="0" wp14:anchorId="1523F0D9" wp14:editId="0121F0EE">
            <wp:extent cx="6222222" cy="10051838"/>
            <wp:effectExtent l="0" t="0" r="7620" b="6985"/>
            <wp:docPr id="197909707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1367" cy="10115076"/>
                    </a:xfrm>
                    <a:prstGeom prst="rect">
                      <a:avLst/>
                    </a:prstGeom>
                    <a:noFill/>
                    <a:ln>
                      <a:noFill/>
                    </a:ln>
                  </pic:spPr>
                </pic:pic>
              </a:graphicData>
            </a:graphic>
          </wp:inline>
        </w:drawing>
      </w:r>
    </w:p>
    <w:p w14:paraId="79F127D9" w14:textId="44457FCF" w:rsidR="00B619E5" w:rsidRDefault="00095664">
      <w:r w:rsidRPr="00095664">
        <w:rPr>
          <w:noProof/>
        </w:rPr>
        <w:lastRenderedPageBreak/>
        <w:drawing>
          <wp:inline distT="0" distB="0" distL="0" distR="0" wp14:anchorId="2D532D28" wp14:editId="6AC4BF97">
            <wp:extent cx="6925733" cy="10083800"/>
            <wp:effectExtent l="0" t="0" r="8890" b="0"/>
            <wp:docPr id="191579614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2136" cy="10093123"/>
                    </a:xfrm>
                    <a:prstGeom prst="rect">
                      <a:avLst/>
                    </a:prstGeom>
                    <a:noFill/>
                    <a:ln>
                      <a:noFill/>
                    </a:ln>
                  </pic:spPr>
                </pic:pic>
              </a:graphicData>
            </a:graphic>
          </wp:inline>
        </w:drawing>
      </w:r>
      <w:r w:rsidR="00B619E5" w:rsidRPr="002579B6">
        <w:br w:type="page"/>
      </w:r>
      <w:r w:rsidR="002E2796" w:rsidRPr="002E2796">
        <w:rPr>
          <w:noProof/>
        </w:rPr>
        <w:lastRenderedPageBreak/>
        <w:drawing>
          <wp:inline distT="0" distB="0" distL="0" distR="0" wp14:anchorId="2B68B177" wp14:editId="54A71C8B">
            <wp:extent cx="6645910" cy="9499600"/>
            <wp:effectExtent l="0" t="0" r="2540" b="6350"/>
            <wp:docPr id="161416952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9694" cy="9505009"/>
                    </a:xfrm>
                    <a:prstGeom prst="rect">
                      <a:avLst/>
                    </a:prstGeom>
                    <a:noFill/>
                    <a:ln>
                      <a:noFill/>
                    </a:ln>
                  </pic:spPr>
                </pic:pic>
              </a:graphicData>
            </a:graphic>
          </wp:inline>
        </w:drawing>
      </w:r>
    </w:p>
    <w:p w14:paraId="1AB43935" w14:textId="1E094A45" w:rsidR="00B619E5" w:rsidRDefault="00F83EA6">
      <w:r w:rsidRPr="00F83EA6">
        <w:rPr>
          <w:noProof/>
        </w:rPr>
        <w:lastRenderedPageBreak/>
        <w:drawing>
          <wp:inline distT="0" distB="0" distL="0" distR="0" wp14:anchorId="197FF150" wp14:editId="270DF57C">
            <wp:extent cx="6933565" cy="10250906"/>
            <wp:effectExtent l="0" t="0" r="635" b="0"/>
            <wp:docPr id="64045116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1387" cy="10277255"/>
                    </a:xfrm>
                    <a:prstGeom prst="rect">
                      <a:avLst/>
                    </a:prstGeom>
                    <a:noFill/>
                    <a:ln>
                      <a:noFill/>
                    </a:ln>
                  </pic:spPr>
                </pic:pic>
              </a:graphicData>
            </a:graphic>
          </wp:inline>
        </w:drawing>
      </w:r>
      <w:r w:rsidR="00B619E5" w:rsidRPr="00187D26">
        <w:br w:type="page"/>
      </w:r>
      <w:r w:rsidR="00973B43" w:rsidRPr="00973B43">
        <w:rPr>
          <w:noProof/>
        </w:rPr>
        <w:lastRenderedPageBreak/>
        <w:drawing>
          <wp:inline distT="0" distB="0" distL="0" distR="0" wp14:anchorId="04AC462A" wp14:editId="11A4626E">
            <wp:extent cx="6832600" cy="9989397"/>
            <wp:effectExtent l="0" t="0" r="6350" b="0"/>
            <wp:docPr id="103711936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133" cy="9997486"/>
                    </a:xfrm>
                    <a:prstGeom prst="rect">
                      <a:avLst/>
                    </a:prstGeom>
                    <a:noFill/>
                    <a:ln>
                      <a:noFill/>
                    </a:ln>
                  </pic:spPr>
                </pic:pic>
              </a:graphicData>
            </a:graphic>
          </wp:inline>
        </w:drawing>
      </w:r>
    </w:p>
    <w:p w14:paraId="1D38DDDD" w14:textId="17A0ED65" w:rsidR="00B619E5" w:rsidRDefault="00B97E8B">
      <w:r w:rsidRPr="00412514">
        <w:rPr>
          <w:noProof/>
        </w:rPr>
        <w:lastRenderedPageBreak/>
        <w:drawing>
          <wp:inline distT="0" distB="0" distL="0" distR="0" wp14:anchorId="13C000B4" wp14:editId="41631BEC">
            <wp:extent cx="6645910" cy="1840230"/>
            <wp:effectExtent l="0" t="0" r="2540" b="7620"/>
            <wp:docPr id="167195751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1840230"/>
                    </a:xfrm>
                    <a:prstGeom prst="rect">
                      <a:avLst/>
                    </a:prstGeom>
                    <a:noFill/>
                    <a:ln>
                      <a:noFill/>
                    </a:ln>
                  </pic:spPr>
                </pic:pic>
              </a:graphicData>
            </a:graphic>
          </wp:inline>
        </w:drawing>
      </w:r>
    </w:p>
    <w:p w14:paraId="3005E144" w14:textId="4172ACF2" w:rsidR="00B619E5" w:rsidRDefault="00E2109A">
      <w:r w:rsidRPr="00E2109A">
        <w:rPr>
          <w:noProof/>
        </w:rPr>
        <w:drawing>
          <wp:inline distT="0" distB="0" distL="0" distR="0" wp14:anchorId="71724BF4" wp14:editId="46AFA107">
            <wp:extent cx="6645910" cy="6138333"/>
            <wp:effectExtent l="0" t="0" r="2540" b="0"/>
            <wp:docPr id="522773975"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9790" cy="6141916"/>
                    </a:xfrm>
                    <a:prstGeom prst="rect">
                      <a:avLst/>
                    </a:prstGeom>
                    <a:noFill/>
                    <a:ln>
                      <a:noFill/>
                    </a:ln>
                  </pic:spPr>
                </pic:pic>
              </a:graphicData>
            </a:graphic>
          </wp:inline>
        </w:drawing>
      </w:r>
      <w:r w:rsidR="00B619E5">
        <w:br w:type="page"/>
      </w:r>
    </w:p>
    <w:p w14:paraId="656107A4" w14:textId="7EFF69DC" w:rsidR="0085477E" w:rsidRDefault="001B7840">
      <w:r w:rsidRPr="001B7840">
        <w:rPr>
          <w:noProof/>
        </w:rPr>
        <w:lastRenderedPageBreak/>
        <w:drawing>
          <wp:inline distT="0" distB="0" distL="0" distR="0" wp14:anchorId="25674877" wp14:editId="5F60884C">
            <wp:extent cx="6645910" cy="3665220"/>
            <wp:effectExtent l="0" t="0" r="2540" b="0"/>
            <wp:docPr id="162341828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3665220"/>
                    </a:xfrm>
                    <a:prstGeom prst="rect">
                      <a:avLst/>
                    </a:prstGeom>
                    <a:noFill/>
                    <a:ln>
                      <a:noFill/>
                    </a:ln>
                  </pic:spPr>
                </pic:pic>
              </a:graphicData>
            </a:graphic>
          </wp:inline>
        </w:drawing>
      </w:r>
    </w:p>
    <w:p w14:paraId="2CDF0AEC" w14:textId="6ADD17FC" w:rsidR="001B7840" w:rsidRDefault="00D76AA3">
      <w:r w:rsidRPr="00D76AA3">
        <w:rPr>
          <w:noProof/>
        </w:rPr>
        <w:drawing>
          <wp:inline distT="0" distB="0" distL="0" distR="0" wp14:anchorId="03EA606A" wp14:editId="53963C30">
            <wp:extent cx="6645910" cy="5763260"/>
            <wp:effectExtent l="0" t="0" r="2540" b="8890"/>
            <wp:docPr id="123950903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5763260"/>
                    </a:xfrm>
                    <a:prstGeom prst="rect">
                      <a:avLst/>
                    </a:prstGeom>
                    <a:noFill/>
                    <a:ln>
                      <a:noFill/>
                    </a:ln>
                  </pic:spPr>
                </pic:pic>
              </a:graphicData>
            </a:graphic>
          </wp:inline>
        </w:drawing>
      </w:r>
    </w:p>
    <w:p w14:paraId="5B917A10" w14:textId="7491B8F6" w:rsidR="00D41936" w:rsidRDefault="0025302E">
      <w:r w:rsidRPr="0025302E">
        <w:rPr>
          <w:noProof/>
        </w:rPr>
        <w:lastRenderedPageBreak/>
        <w:drawing>
          <wp:inline distT="0" distB="0" distL="0" distR="0" wp14:anchorId="32736220" wp14:editId="2B5661E8">
            <wp:extent cx="6645910" cy="5030470"/>
            <wp:effectExtent l="0" t="0" r="2540" b="0"/>
            <wp:docPr id="1233940042"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5030470"/>
                    </a:xfrm>
                    <a:prstGeom prst="rect">
                      <a:avLst/>
                    </a:prstGeom>
                    <a:noFill/>
                    <a:ln>
                      <a:noFill/>
                    </a:ln>
                  </pic:spPr>
                </pic:pic>
              </a:graphicData>
            </a:graphic>
          </wp:inline>
        </w:drawing>
      </w:r>
    </w:p>
    <w:p w14:paraId="0AFF8983" w14:textId="6CDFED55" w:rsidR="0085477E" w:rsidRDefault="001E05F9">
      <w:r w:rsidRPr="001E05F9">
        <w:rPr>
          <w:noProof/>
        </w:rPr>
        <w:drawing>
          <wp:inline distT="0" distB="0" distL="0" distR="0" wp14:anchorId="4F0C1167" wp14:editId="55AE61EA">
            <wp:extent cx="6645910" cy="4326466"/>
            <wp:effectExtent l="0" t="0" r="2540" b="0"/>
            <wp:docPr id="617443287"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0697" cy="4336092"/>
                    </a:xfrm>
                    <a:prstGeom prst="rect">
                      <a:avLst/>
                    </a:prstGeom>
                    <a:noFill/>
                    <a:ln>
                      <a:noFill/>
                    </a:ln>
                  </pic:spPr>
                </pic:pic>
              </a:graphicData>
            </a:graphic>
          </wp:inline>
        </w:drawing>
      </w:r>
      <w:r w:rsidR="0085477E">
        <w:br w:type="page"/>
      </w:r>
    </w:p>
    <w:p w14:paraId="49A985C8" w14:textId="6B637EDD" w:rsidR="0025302E" w:rsidRDefault="00615C00">
      <w:r w:rsidRPr="00615C00">
        <w:rPr>
          <w:noProof/>
        </w:rPr>
        <w:lastRenderedPageBreak/>
        <w:drawing>
          <wp:inline distT="0" distB="0" distL="0" distR="0" wp14:anchorId="69944535" wp14:editId="037EF135">
            <wp:extent cx="6645910" cy="2576830"/>
            <wp:effectExtent l="0" t="0" r="2540" b="0"/>
            <wp:docPr id="1932800444"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2576830"/>
                    </a:xfrm>
                    <a:prstGeom prst="rect">
                      <a:avLst/>
                    </a:prstGeom>
                    <a:noFill/>
                    <a:ln>
                      <a:noFill/>
                    </a:ln>
                  </pic:spPr>
                </pic:pic>
              </a:graphicData>
            </a:graphic>
          </wp:inline>
        </w:drawing>
      </w:r>
    </w:p>
    <w:p w14:paraId="48257E45" w14:textId="114E9C87" w:rsidR="00615C00" w:rsidRDefault="00030E64">
      <w:r w:rsidRPr="00030E64">
        <w:rPr>
          <w:noProof/>
        </w:rPr>
        <w:drawing>
          <wp:inline distT="0" distB="0" distL="0" distR="0" wp14:anchorId="40EFC1F6" wp14:editId="454558DD">
            <wp:extent cx="6645910" cy="4388485"/>
            <wp:effectExtent l="0" t="0" r="2540" b="0"/>
            <wp:docPr id="534716677"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4388485"/>
                    </a:xfrm>
                    <a:prstGeom prst="rect">
                      <a:avLst/>
                    </a:prstGeom>
                    <a:noFill/>
                    <a:ln>
                      <a:noFill/>
                    </a:ln>
                  </pic:spPr>
                </pic:pic>
              </a:graphicData>
            </a:graphic>
          </wp:inline>
        </w:drawing>
      </w:r>
    </w:p>
    <w:p w14:paraId="08B467AF" w14:textId="77777777" w:rsidR="00030E64" w:rsidRDefault="00030E64"/>
    <w:p w14:paraId="766D963A" w14:textId="77777777" w:rsidR="0025302E" w:rsidRDefault="0025302E">
      <w:r>
        <w:br w:type="page"/>
      </w:r>
    </w:p>
    <w:p w14:paraId="79B34EB1" w14:textId="487ED2DF" w:rsidR="0025302E" w:rsidRDefault="00A16498">
      <w:r w:rsidRPr="00A16498">
        <w:rPr>
          <w:noProof/>
        </w:rPr>
        <w:lastRenderedPageBreak/>
        <w:drawing>
          <wp:inline distT="0" distB="0" distL="0" distR="0" wp14:anchorId="17588231" wp14:editId="64AB8EB8">
            <wp:extent cx="6756400" cy="9777730"/>
            <wp:effectExtent l="0" t="0" r="6350" b="0"/>
            <wp:docPr id="1306343027"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57695" cy="9779604"/>
                    </a:xfrm>
                    <a:prstGeom prst="rect">
                      <a:avLst/>
                    </a:prstGeom>
                    <a:noFill/>
                    <a:ln>
                      <a:noFill/>
                    </a:ln>
                  </pic:spPr>
                </pic:pic>
              </a:graphicData>
            </a:graphic>
          </wp:inline>
        </w:drawing>
      </w:r>
    </w:p>
    <w:p w14:paraId="56F08BEE" w14:textId="77777777" w:rsidR="000E3CD7" w:rsidRPr="00175384" w:rsidRDefault="000E3CD7" w:rsidP="000E3CD7">
      <w:pPr>
        <w:jc w:val="center"/>
        <w:rPr>
          <w:rFonts w:ascii="Times New Roman" w:hAnsi="Times New Roman" w:cs="Times New Roman"/>
        </w:rPr>
      </w:pPr>
      <w:r w:rsidRPr="00175384">
        <w:rPr>
          <w:rFonts w:ascii="Times New Roman" w:hAnsi="Times New Roman" w:cs="Times New Roman"/>
        </w:rPr>
        <w:lastRenderedPageBreak/>
        <w:t>LAZDIJŲ KRAŠTO MUZIEJUS</w:t>
      </w:r>
    </w:p>
    <w:p w14:paraId="653505D9" w14:textId="77777777" w:rsidR="000E3CD7" w:rsidRPr="00175384" w:rsidRDefault="000E3CD7" w:rsidP="000E3CD7">
      <w:pPr>
        <w:spacing w:line="360" w:lineRule="auto"/>
        <w:jc w:val="center"/>
        <w:rPr>
          <w:rFonts w:ascii="Times New Roman" w:hAnsi="Times New Roman" w:cs="Times New Roman"/>
          <w:b/>
        </w:rPr>
      </w:pPr>
      <w:r w:rsidRPr="00175384">
        <w:rPr>
          <w:rFonts w:ascii="Times New Roman" w:hAnsi="Times New Roman" w:cs="Times New Roman"/>
          <w:b/>
        </w:rPr>
        <w:t>Aiškinamasis raštas</w:t>
      </w:r>
    </w:p>
    <w:p w14:paraId="3E2E39B6" w14:textId="77777777" w:rsidR="000E3CD7" w:rsidRPr="00175384" w:rsidRDefault="000E3CD7" w:rsidP="000E3CD7">
      <w:pPr>
        <w:spacing w:line="360" w:lineRule="auto"/>
        <w:jc w:val="center"/>
        <w:outlineLvl w:val="0"/>
        <w:rPr>
          <w:rFonts w:ascii="Times New Roman" w:hAnsi="Times New Roman" w:cs="Times New Roman"/>
          <w:b/>
        </w:rPr>
      </w:pPr>
      <w:r w:rsidRPr="00175384">
        <w:rPr>
          <w:rFonts w:ascii="Times New Roman" w:hAnsi="Times New Roman" w:cs="Times New Roman"/>
          <w:b/>
        </w:rPr>
        <w:t>prie 2025 m. finansinių ataskaitų</w:t>
      </w:r>
    </w:p>
    <w:p w14:paraId="0E68D9D4" w14:textId="77777777" w:rsidR="000E3CD7" w:rsidRPr="00175384" w:rsidRDefault="000E3CD7" w:rsidP="000E3CD7">
      <w:pPr>
        <w:spacing w:line="360" w:lineRule="auto"/>
        <w:jc w:val="center"/>
        <w:rPr>
          <w:rFonts w:ascii="Times New Roman" w:hAnsi="Times New Roman" w:cs="Times New Roman"/>
          <w:b/>
        </w:rPr>
      </w:pPr>
    </w:p>
    <w:p w14:paraId="67796444" w14:textId="77777777" w:rsidR="000E3CD7" w:rsidRPr="00175384" w:rsidRDefault="000E3CD7" w:rsidP="000E3CD7">
      <w:pPr>
        <w:spacing w:line="360" w:lineRule="auto"/>
        <w:ind w:left="142"/>
        <w:jc w:val="center"/>
        <w:rPr>
          <w:rFonts w:ascii="Times New Roman" w:hAnsi="Times New Roman" w:cs="Times New Roman"/>
          <w:b/>
        </w:rPr>
      </w:pPr>
      <w:r w:rsidRPr="00175384">
        <w:rPr>
          <w:rFonts w:ascii="Times New Roman" w:hAnsi="Times New Roman" w:cs="Times New Roman"/>
          <w:b/>
        </w:rPr>
        <w:t>I. BENDROJI DALIS</w:t>
      </w:r>
    </w:p>
    <w:p w14:paraId="37088522" w14:textId="77777777" w:rsidR="000E3CD7" w:rsidRPr="00175384" w:rsidRDefault="000E3CD7" w:rsidP="000E3CD7">
      <w:pPr>
        <w:tabs>
          <w:tab w:val="left" w:pos="993"/>
        </w:tabs>
        <w:spacing w:line="360" w:lineRule="auto"/>
        <w:jc w:val="both"/>
        <w:rPr>
          <w:rFonts w:ascii="Times New Roman" w:hAnsi="Times New Roman" w:cs="Times New Roman"/>
        </w:rPr>
      </w:pPr>
      <w:r w:rsidRPr="00175384">
        <w:rPr>
          <w:rFonts w:ascii="Times New Roman" w:hAnsi="Times New Roman" w:cs="Times New Roman"/>
        </w:rPr>
        <w:tab/>
        <w:t xml:space="preserve">Lazdijų krašto muziejus yra ribotos civilinės atsakomybės juridinis asmuo, turintis savo išlaidų sąmatą, savarankišką balansą, antspaudą su Muziejaus pavadinimu, simbolika, atsiskaitomąją bei kitas sąskaitas, reikalingas muziejaus veiklai vykdyti, </w:t>
      </w:r>
      <w:proofErr w:type="spellStart"/>
      <w:r w:rsidRPr="00175384">
        <w:rPr>
          <w:rFonts w:ascii="Times New Roman" w:hAnsi="Times New Roman" w:cs="Times New Roman"/>
        </w:rPr>
        <w:t>Luminor</w:t>
      </w:r>
      <w:proofErr w:type="spellEnd"/>
      <w:r w:rsidRPr="00175384">
        <w:rPr>
          <w:rFonts w:ascii="Times New Roman" w:hAnsi="Times New Roman" w:cs="Times New Roman"/>
        </w:rPr>
        <w:t xml:space="preserve"> banke. Muziejaus buveinės adresas: Seinų g. 29, Lazdijai. Įstaigos kodas – 300002004.</w:t>
      </w:r>
    </w:p>
    <w:p w14:paraId="5CE82990" w14:textId="77777777" w:rsidR="000E3CD7" w:rsidRPr="00175384" w:rsidRDefault="000E3CD7" w:rsidP="000E3CD7">
      <w:pPr>
        <w:tabs>
          <w:tab w:val="left" w:pos="993"/>
        </w:tabs>
        <w:spacing w:line="360" w:lineRule="auto"/>
        <w:rPr>
          <w:rFonts w:ascii="Times New Roman" w:hAnsi="Times New Roman" w:cs="Times New Roman"/>
        </w:rPr>
      </w:pPr>
      <w:r w:rsidRPr="00175384">
        <w:rPr>
          <w:rFonts w:ascii="Times New Roman" w:hAnsi="Times New Roman" w:cs="Times New Roman"/>
        </w:rPr>
        <w:tab/>
        <w:t>Muziejus yra savarankiška Lazdijų rajono savivaldybės biudžetinė įstaiga.</w:t>
      </w:r>
    </w:p>
    <w:p w14:paraId="518F6CB4" w14:textId="77777777" w:rsidR="000E3CD7" w:rsidRPr="00175384" w:rsidRDefault="000E3CD7" w:rsidP="000E3CD7">
      <w:pPr>
        <w:tabs>
          <w:tab w:val="left" w:pos="993"/>
        </w:tabs>
        <w:spacing w:line="360" w:lineRule="auto"/>
        <w:rPr>
          <w:rFonts w:ascii="Times New Roman" w:hAnsi="Times New Roman" w:cs="Times New Roman"/>
        </w:rPr>
      </w:pPr>
      <w:r w:rsidRPr="00175384">
        <w:rPr>
          <w:rFonts w:ascii="Times New Roman" w:hAnsi="Times New Roman" w:cs="Times New Roman"/>
        </w:rPr>
        <w:t>Lazdijų krašto muziejus ataskaitinio laikotarpio pabaigoje turi penkis struktūrinius padalinius:</w:t>
      </w:r>
    </w:p>
    <w:p w14:paraId="064A04BE" w14:textId="77777777" w:rsidR="000E3CD7" w:rsidRPr="00175384" w:rsidRDefault="000E3CD7" w:rsidP="000E3CD7">
      <w:pPr>
        <w:pStyle w:val="Sraopastraipa"/>
        <w:numPr>
          <w:ilvl w:val="0"/>
          <w:numId w:val="1"/>
        </w:numPr>
        <w:tabs>
          <w:tab w:val="left" w:pos="993"/>
        </w:tabs>
        <w:spacing w:after="0" w:line="360" w:lineRule="auto"/>
        <w:jc w:val="both"/>
        <w:rPr>
          <w:rFonts w:ascii="Times New Roman" w:hAnsi="Times New Roman" w:cs="Times New Roman"/>
        </w:rPr>
      </w:pPr>
      <w:r w:rsidRPr="00175384">
        <w:rPr>
          <w:rFonts w:ascii="Times New Roman" w:hAnsi="Times New Roman" w:cs="Times New Roman"/>
        </w:rPr>
        <w:t>Etnografinė Prano Dzūko sodyba (</w:t>
      </w:r>
      <w:proofErr w:type="spellStart"/>
      <w:r w:rsidRPr="00175384">
        <w:rPr>
          <w:rFonts w:ascii="Times New Roman" w:hAnsi="Times New Roman" w:cs="Times New Roman"/>
        </w:rPr>
        <w:t>Delnicos</w:t>
      </w:r>
      <w:proofErr w:type="spellEnd"/>
      <w:r w:rsidRPr="00175384">
        <w:rPr>
          <w:rFonts w:ascii="Times New Roman" w:hAnsi="Times New Roman" w:cs="Times New Roman"/>
        </w:rPr>
        <w:t xml:space="preserve"> k., Šeštokų sen., Lazdijų r. sav.);</w:t>
      </w:r>
    </w:p>
    <w:p w14:paraId="60A4AE36" w14:textId="77777777" w:rsidR="000E3CD7" w:rsidRPr="00175384" w:rsidRDefault="000E3CD7" w:rsidP="000E3CD7">
      <w:pPr>
        <w:pStyle w:val="Sraopastraipa"/>
        <w:numPr>
          <w:ilvl w:val="0"/>
          <w:numId w:val="1"/>
        </w:numPr>
        <w:tabs>
          <w:tab w:val="left" w:pos="993"/>
        </w:tabs>
        <w:spacing w:after="0" w:line="360" w:lineRule="auto"/>
        <w:jc w:val="both"/>
        <w:rPr>
          <w:rFonts w:ascii="Times New Roman" w:hAnsi="Times New Roman" w:cs="Times New Roman"/>
        </w:rPr>
      </w:pPr>
      <w:r w:rsidRPr="00175384">
        <w:rPr>
          <w:rFonts w:ascii="Times New Roman" w:hAnsi="Times New Roman" w:cs="Times New Roman"/>
        </w:rPr>
        <w:t>Laisvės kovų muziejus (Vytauto g. 17, Lazdijai);</w:t>
      </w:r>
    </w:p>
    <w:p w14:paraId="28BC2882" w14:textId="77777777" w:rsidR="000E3CD7" w:rsidRPr="00175384" w:rsidRDefault="000E3CD7" w:rsidP="000E3CD7">
      <w:pPr>
        <w:pStyle w:val="Sraopastraipa"/>
        <w:numPr>
          <w:ilvl w:val="0"/>
          <w:numId w:val="1"/>
        </w:numPr>
        <w:tabs>
          <w:tab w:val="left" w:pos="993"/>
        </w:tabs>
        <w:spacing w:after="0" w:line="360" w:lineRule="auto"/>
        <w:jc w:val="both"/>
        <w:rPr>
          <w:rFonts w:ascii="Times New Roman" w:hAnsi="Times New Roman" w:cs="Times New Roman"/>
        </w:rPr>
      </w:pPr>
      <w:r w:rsidRPr="00175384">
        <w:rPr>
          <w:rFonts w:ascii="Times New Roman" w:hAnsi="Times New Roman" w:cs="Times New Roman"/>
        </w:rPr>
        <w:t>Veisiejų krašto muziejus (Vytauto g. 47, Veisiejai, Lazdijų r. sav.);</w:t>
      </w:r>
    </w:p>
    <w:p w14:paraId="556AC35D" w14:textId="77777777" w:rsidR="000E3CD7" w:rsidRDefault="000E3CD7" w:rsidP="000E3CD7">
      <w:pPr>
        <w:pStyle w:val="Sraopastraipa"/>
        <w:numPr>
          <w:ilvl w:val="0"/>
          <w:numId w:val="1"/>
        </w:numPr>
        <w:tabs>
          <w:tab w:val="left" w:pos="993"/>
        </w:tabs>
        <w:spacing w:after="0" w:line="360" w:lineRule="auto"/>
        <w:jc w:val="both"/>
        <w:rPr>
          <w:rFonts w:ascii="Times New Roman" w:hAnsi="Times New Roman" w:cs="Times New Roman"/>
        </w:rPr>
      </w:pPr>
      <w:r w:rsidRPr="00175384">
        <w:rPr>
          <w:rFonts w:ascii="Times New Roman" w:hAnsi="Times New Roman" w:cs="Times New Roman"/>
        </w:rPr>
        <w:t xml:space="preserve">Kapčiamiesčio Emilijos </w:t>
      </w:r>
      <w:proofErr w:type="spellStart"/>
      <w:r w:rsidRPr="00175384">
        <w:rPr>
          <w:rFonts w:ascii="Times New Roman" w:hAnsi="Times New Roman" w:cs="Times New Roman"/>
        </w:rPr>
        <w:t>Pliaterytės</w:t>
      </w:r>
      <w:proofErr w:type="spellEnd"/>
      <w:r w:rsidRPr="00175384">
        <w:rPr>
          <w:rFonts w:ascii="Times New Roman" w:hAnsi="Times New Roman" w:cs="Times New Roman"/>
        </w:rPr>
        <w:t xml:space="preserve"> muziejus (Taikos g. 11, Kapčiamiestis, Lazdijų r.</w:t>
      </w:r>
      <w:r>
        <w:rPr>
          <w:rFonts w:ascii="Times New Roman" w:hAnsi="Times New Roman" w:cs="Times New Roman"/>
        </w:rPr>
        <w:t xml:space="preserve">  </w:t>
      </w:r>
    </w:p>
    <w:p w14:paraId="7BD5B334" w14:textId="77777777" w:rsidR="000E3CD7" w:rsidRPr="002C0085" w:rsidRDefault="000E3CD7" w:rsidP="000E3CD7">
      <w:pPr>
        <w:pStyle w:val="Sraopastraipa"/>
        <w:tabs>
          <w:tab w:val="left" w:pos="993"/>
        </w:tabs>
        <w:spacing w:after="0" w:line="360" w:lineRule="auto"/>
        <w:ind w:left="1356"/>
        <w:jc w:val="both"/>
        <w:rPr>
          <w:rFonts w:ascii="Times New Roman" w:hAnsi="Times New Roman" w:cs="Times New Roman"/>
        </w:rPr>
      </w:pPr>
      <w:r w:rsidRPr="002C0085">
        <w:rPr>
          <w:rFonts w:ascii="Times New Roman" w:hAnsi="Times New Roman" w:cs="Times New Roman"/>
        </w:rPr>
        <w:t>sav.);</w:t>
      </w:r>
    </w:p>
    <w:p w14:paraId="5048CBB9" w14:textId="77777777" w:rsidR="000E3CD7" w:rsidRPr="00175384" w:rsidRDefault="000E3CD7" w:rsidP="000E3CD7">
      <w:pPr>
        <w:pStyle w:val="Sraopastraipa"/>
        <w:numPr>
          <w:ilvl w:val="0"/>
          <w:numId w:val="1"/>
        </w:numPr>
        <w:tabs>
          <w:tab w:val="left" w:pos="993"/>
        </w:tabs>
        <w:spacing w:after="0" w:line="360" w:lineRule="auto"/>
        <w:jc w:val="both"/>
        <w:rPr>
          <w:rFonts w:ascii="Times New Roman" w:hAnsi="Times New Roman" w:cs="Times New Roman"/>
        </w:rPr>
      </w:pPr>
      <w:r w:rsidRPr="00175384">
        <w:rPr>
          <w:rFonts w:ascii="Times New Roman" w:hAnsi="Times New Roman" w:cs="Times New Roman"/>
        </w:rPr>
        <w:t>Motiejaus Gustaičio memorialinis namas (Seinų g. 31, Lazdijai).</w:t>
      </w:r>
    </w:p>
    <w:p w14:paraId="13BC5F89" w14:textId="77777777" w:rsidR="000E3CD7" w:rsidRPr="00175384" w:rsidRDefault="000E3CD7" w:rsidP="000E3CD7">
      <w:pPr>
        <w:tabs>
          <w:tab w:val="left" w:pos="993"/>
        </w:tabs>
        <w:spacing w:line="360" w:lineRule="auto"/>
        <w:ind w:left="996"/>
        <w:jc w:val="both"/>
        <w:rPr>
          <w:rFonts w:ascii="Times New Roman" w:hAnsi="Times New Roman" w:cs="Times New Roman"/>
        </w:rPr>
      </w:pPr>
      <w:r w:rsidRPr="00175384">
        <w:rPr>
          <w:rFonts w:ascii="Times New Roman" w:hAnsi="Times New Roman" w:cs="Times New Roman"/>
        </w:rPr>
        <w:t>2025 m. vidutinis darbuotojų skaičius įstaigoje 16</w:t>
      </w:r>
      <w:r w:rsidRPr="00175384">
        <w:rPr>
          <w:rFonts w:ascii="Times New Roman" w:hAnsi="Times New Roman" w:cs="Times New Roman"/>
          <w:color w:val="FF0000"/>
        </w:rPr>
        <w:t xml:space="preserve">  </w:t>
      </w:r>
      <w:r w:rsidRPr="00175384">
        <w:rPr>
          <w:rFonts w:ascii="Times New Roman" w:hAnsi="Times New Roman" w:cs="Times New Roman"/>
        </w:rPr>
        <w:t xml:space="preserve">(2024 metais darbuotojų skaičius </w:t>
      </w:r>
    </w:p>
    <w:p w14:paraId="3CA9D0C1" w14:textId="77777777" w:rsidR="000E3CD7" w:rsidRPr="00175384" w:rsidRDefault="000E3CD7" w:rsidP="000E3CD7">
      <w:pPr>
        <w:tabs>
          <w:tab w:val="left" w:pos="993"/>
        </w:tabs>
        <w:spacing w:line="360" w:lineRule="auto"/>
        <w:jc w:val="both"/>
        <w:rPr>
          <w:rFonts w:ascii="Times New Roman" w:hAnsi="Times New Roman" w:cs="Times New Roman"/>
        </w:rPr>
      </w:pPr>
      <w:r w:rsidRPr="00175384">
        <w:rPr>
          <w:rFonts w:ascii="Times New Roman" w:hAnsi="Times New Roman" w:cs="Times New Roman"/>
        </w:rPr>
        <w:t>įstaigoje buvo taip pat 14).</w:t>
      </w:r>
    </w:p>
    <w:p w14:paraId="59BA489D" w14:textId="77777777" w:rsidR="000E3CD7" w:rsidRPr="00175384" w:rsidRDefault="000E3CD7" w:rsidP="000E3CD7">
      <w:pPr>
        <w:tabs>
          <w:tab w:val="left" w:pos="993"/>
        </w:tabs>
        <w:spacing w:line="360" w:lineRule="auto"/>
        <w:ind w:left="996"/>
        <w:rPr>
          <w:rFonts w:ascii="Times New Roman" w:hAnsi="Times New Roman" w:cs="Times New Roman"/>
        </w:rPr>
      </w:pPr>
      <w:r w:rsidRPr="00175384">
        <w:rPr>
          <w:rFonts w:ascii="Times New Roman" w:hAnsi="Times New Roman" w:cs="Times New Roman"/>
        </w:rPr>
        <w:t>Muziejus vykdo nuostatuose nustatytas funkcijas.</w:t>
      </w:r>
    </w:p>
    <w:p w14:paraId="5A809A55" w14:textId="77777777" w:rsidR="000E3CD7" w:rsidRPr="00175384" w:rsidRDefault="000E3CD7" w:rsidP="000E3CD7">
      <w:pPr>
        <w:tabs>
          <w:tab w:val="left" w:pos="993"/>
        </w:tabs>
        <w:spacing w:line="360" w:lineRule="auto"/>
        <w:ind w:left="996"/>
        <w:rPr>
          <w:rFonts w:ascii="Times New Roman" w:hAnsi="Times New Roman" w:cs="Times New Roman"/>
        </w:rPr>
      </w:pPr>
      <w:r w:rsidRPr="00175384">
        <w:rPr>
          <w:rFonts w:ascii="Times New Roman" w:hAnsi="Times New Roman" w:cs="Times New Roman"/>
        </w:rPr>
        <w:t>Įstaigos finansinės ataskaitos teikiamos už pilnus 2025 biudžetinius metus. Finansinių ataskaitų rinkinys sudarytas remiantis paskutinės ataskaitinio laikotarpio dienos</w:t>
      </w:r>
    </w:p>
    <w:p w14:paraId="12AD8CEB" w14:textId="77777777" w:rsidR="000E3CD7" w:rsidRPr="00175384" w:rsidRDefault="000E3CD7" w:rsidP="000E3CD7">
      <w:pPr>
        <w:tabs>
          <w:tab w:val="left" w:pos="993"/>
        </w:tabs>
        <w:spacing w:line="360" w:lineRule="auto"/>
        <w:rPr>
          <w:rFonts w:ascii="Times New Roman" w:hAnsi="Times New Roman" w:cs="Times New Roman"/>
        </w:rPr>
      </w:pPr>
      <w:r w:rsidRPr="00175384">
        <w:rPr>
          <w:rFonts w:ascii="Times New Roman" w:hAnsi="Times New Roman" w:cs="Times New Roman"/>
        </w:rPr>
        <w:t xml:space="preserve"> duomenimis. </w:t>
      </w:r>
    </w:p>
    <w:p w14:paraId="2703C546" w14:textId="77777777" w:rsidR="000E3CD7" w:rsidRDefault="000E3CD7" w:rsidP="000E3CD7">
      <w:pPr>
        <w:spacing w:line="360" w:lineRule="auto"/>
        <w:ind w:firstLine="1296"/>
        <w:jc w:val="both"/>
        <w:rPr>
          <w:rFonts w:ascii="Times New Roman" w:hAnsi="Times New Roman" w:cs="Times New Roman"/>
        </w:rPr>
      </w:pPr>
      <w:r w:rsidRPr="00175384">
        <w:rPr>
          <w:rFonts w:ascii="Times New Roman" w:hAnsi="Times New Roman" w:cs="Times New Roman"/>
        </w:rPr>
        <w:t xml:space="preserve">Finansinėse ataskaitose pateikiami duomenys išreikšti Lietuvos Respublikos piniginiais vienetais – eurais. </w:t>
      </w:r>
    </w:p>
    <w:p w14:paraId="56B3E738" w14:textId="77777777" w:rsidR="000E3CD7" w:rsidRDefault="000E3CD7" w:rsidP="000E3CD7">
      <w:pPr>
        <w:spacing w:line="360" w:lineRule="auto"/>
        <w:ind w:firstLine="1296"/>
        <w:jc w:val="both"/>
        <w:rPr>
          <w:rFonts w:ascii="Times New Roman" w:hAnsi="Times New Roman" w:cs="Times New Roman"/>
        </w:rPr>
      </w:pPr>
    </w:p>
    <w:p w14:paraId="4EBA328C" w14:textId="77777777" w:rsidR="000E3CD7" w:rsidRDefault="000E3CD7" w:rsidP="000E3CD7">
      <w:pPr>
        <w:spacing w:line="360" w:lineRule="auto"/>
        <w:ind w:firstLine="1296"/>
        <w:jc w:val="both"/>
        <w:rPr>
          <w:rFonts w:ascii="Times New Roman" w:hAnsi="Times New Roman" w:cs="Times New Roman"/>
        </w:rPr>
      </w:pPr>
    </w:p>
    <w:p w14:paraId="58321194" w14:textId="77777777" w:rsidR="000E3CD7" w:rsidRDefault="000E3CD7" w:rsidP="000E3CD7">
      <w:pPr>
        <w:spacing w:line="360" w:lineRule="auto"/>
        <w:ind w:firstLine="1296"/>
        <w:jc w:val="both"/>
        <w:rPr>
          <w:rFonts w:ascii="Times New Roman" w:hAnsi="Times New Roman" w:cs="Times New Roman"/>
        </w:rPr>
      </w:pPr>
    </w:p>
    <w:p w14:paraId="13D94A1D" w14:textId="77777777" w:rsidR="000E3CD7" w:rsidRPr="00175384" w:rsidRDefault="000E3CD7" w:rsidP="000E3CD7">
      <w:pPr>
        <w:spacing w:line="360" w:lineRule="auto"/>
        <w:ind w:firstLine="1296"/>
        <w:jc w:val="both"/>
        <w:rPr>
          <w:rFonts w:ascii="Times New Roman" w:hAnsi="Times New Roman" w:cs="Times New Roman"/>
        </w:rPr>
      </w:pPr>
    </w:p>
    <w:p w14:paraId="11FCEADE" w14:textId="77777777" w:rsidR="000E3CD7" w:rsidRPr="00175384" w:rsidRDefault="000E3CD7" w:rsidP="000E3CD7">
      <w:pPr>
        <w:spacing w:line="360" w:lineRule="auto"/>
        <w:ind w:firstLine="1296"/>
        <w:jc w:val="both"/>
        <w:rPr>
          <w:rFonts w:ascii="Times New Roman" w:hAnsi="Times New Roman" w:cs="Times New Roman"/>
        </w:rPr>
      </w:pPr>
    </w:p>
    <w:p w14:paraId="2ECB0032" w14:textId="77777777" w:rsidR="000E3CD7" w:rsidRPr="00175384" w:rsidRDefault="000E3CD7" w:rsidP="000E3CD7">
      <w:pPr>
        <w:spacing w:line="360" w:lineRule="auto"/>
        <w:jc w:val="center"/>
        <w:rPr>
          <w:rFonts w:ascii="Times New Roman" w:hAnsi="Times New Roman" w:cs="Times New Roman"/>
          <w:b/>
        </w:rPr>
      </w:pPr>
      <w:r w:rsidRPr="00175384">
        <w:rPr>
          <w:rFonts w:ascii="Times New Roman" w:hAnsi="Times New Roman" w:cs="Times New Roman"/>
          <w:b/>
        </w:rPr>
        <w:lastRenderedPageBreak/>
        <w:t>II. APSKAITOS POLITIKA</w:t>
      </w:r>
    </w:p>
    <w:p w14:paraId="3CD344D2" w14:textId="77777777" w:rsidR="000E3CD7" w:rsidRPr="00175384" w:rsidRDefault="000E3CD7" w:rsidP="000E3CD7">
      <w:pPr>
        <w:spacing w:line="360" w:lineRule="auto"/>
        <w:ind w:firstLine="1296"/>
        <w:jc w:val="both"/>
        <w:rPr>
          <w:rFonts w:ascii="Times New Roman" w:hAnsi="Times New Roman" w:cs="Times New Roman"/>
        </w:rPr>
      </w:pPr>
      <w:r w:rsidRPr="00175384">
        <w:rPr>
          <w:rFonts w:ascii="Times New Roman" w:hAnsi="Times New Roman" w:cs="Times New Roman"/>
        </w:rPr>
        <w:t>Lazdijų krašto muziejaus apskaita tvarkoma, vadovaujantis Lietuvos Respublikos buhalterinės apskaitos įstatymu, Lietuvos Respublikos viešojo sektoriaus atskaitomybės įstatymu ir kitais teisės aktais. Parengtos finansinės ataskaitos atitinka Viešojo sektoriaus apskaitos ir finansinės atskaitomybės standartus (VSAFAS), kaip tai yra nustatyta Viešojo sektoriaus atskaitomybės 21 straipsnio 6 dalyje.</w:t>
      </w:r>
    </w:p>
    <w:p w14:paraId="10041125" w14:textId="77777777" w:rsidR="000E3CD7" w:rsidRPr="00175384" w:rsidRDefault="000E3CD7" w:rsidP="000E3CD7">
      <w:pPr>
        <w:tabs>
          <w:tab w:val="left" w:pos="567"/>
        </w:tabs>
        <w:spacing w:line="360" w:lineRule="auto"/>
        <w:jc w:val="both"/>
        <w:rPr>
          <w:rFonts w:ascii="Times New Roman" w:hAnsi="Times New Roman" w:cs="Times New Roman"/>
        </w:rPr>
      </w:pPr>
      <w:r w:rsidRPr="00175384">
        <w:rPr>
          <w:rFonts w:ascii="Times New Roman" w:hAnsi="Times New Roman" w:cs="Times New Roman"/>
        </w:rPr>
        <w:tab/>
        <w:t>Įstaiga vadovaujasi bendraisiais apskaitos principais, nustatytais 1-ajame VSAFAS „Finansinių ataskaitų rinkinio pateikimas“ ir Lazdijų rajono savivaldybės administracijos direktoriaus 2025 m. liepos 15 d. įsakymu Nr. 10V-679  „Dėl Lazdijų rajono savivaldybės biudžetinių įstaigų, kurių buhalterinė apskaita yra tvarkoma centralizuotai, apskaitos politikos patvirtinimo“ ataskaitiniu laikotarpiu atnaujinta apskaitos politika</w:t>
      </w:r>
      <w:r>
        <w:rPr>
          <w:rFonts w:ascii="Times New Roman" w:hAnsi="Times New Roman" w:cs="Times New Roman"/>
        </w:rPr>
        <w:t>.</w:t>
      </w:r>
    </w:p>
    <w:p w14:paraId="07127EA7" w14:textId="77777777" w:rsidR="000E3CD7" w:rsidRPr="00175384" w:rsidRDefault="000E3CD7" w:rsidP="000E3CD7">
      <w:pPr>
        <w:spacing w:line="360" w:lineRule="auto"/>
        <w:rPr>
          <w:rFonts w:ascii="Times New Roman" w:hAnsi="Times New Roman" w:cs="Times New Roman"/>
        </w:rPr>
      </w:pPr>
      <w:r w:rsidRPr="00175384">
        <w:rPr>
          <w:rFonts w:ascii="Times New Roman" w:hAnsi="Times New Roman" w:cs="Times New Roman"/>
        </w:rPr>
        <w:t xml:space="preserve">Apskaitos duomenys detalizuojami pagal šiuos požymius: </w:t>
      </w:r>
    </w:p>
    <w:p w14:paraId="6B9187B6"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valstybės funkciją,</w:t>
      </w:r>
    </w:p>
    <w:p w14:paraId="4910300D"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programą, priemonę, projektą,</w:t>
      </w:r>
    </w:p>
    <w:p w14:paraId="0D1041F6"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lėšų šaltinį,</w:t>
      </w:r>
    </w:p>
    <w:p w14:paraId="43BF28AC"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biudžeto išlaidų ekonominės klasifikacijos straipsnį,</w:t>
      </w:r>
    </w:p>
    <w:p w14:paraId="17883211"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kitą informaciją.</w:t>
      </w:r>
    </w:p>
    <w:p w14:paraId="5EF57903" w14:textId="77777777" w:rsidR="000E3CD7" w:rsidRPr="00175384" w:rsidRDefault="000E3CD7" w:rsidP="000E3CD7">
      <w:pPr>
        <w:spacing w:line="360" w:lineRule="auto"/>
        <w:ind w:left="1296"/>
        <w:jc w:val="both"/>
        <w:rPr>
          <w:rFonts w:ascii="Times New Roman" w:hAnsi="Times New Roman" w:cs="Times New Roman"/>
        </w:rPr>
      </w:pPr>
      <w:r w:rsidRPr="00175384">
        <w:rPr>
          <w:rFonts w:ascii="Times New Roman" w:hAnsi="Times New Roman" w:cs="Times New Roman"/>
        </w:rPr>
        <w:t>Ūkinės operacijos ir įvykiai registruojami ir finansinių ataskaitų rinkinys rengiamas taikant šiuos bendruosius apskaitos principus:</w:t>
      </w:r>
    </w:p>
    <w:p w14:paraId="0A3042D5"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kaupimo,</w:t>
      </w:r>
    </w:p>
    <w:p w14:paraId="78809794"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subjekto,</w:t>
      </w:r>
    </w:p>
    <w:p w14:paraId="7843FD6D"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veiklos tęstinumo,</w:t>
      </w:r>
    </w:p>
    <w:p w14:paraId="635E37C1"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periodiškumo,</w:t>
      </w:r>
    </w:p>
    <w:p w14:paraId="308DDC61"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pastovumo,</w:t>
      </w:r>
    </w:p>
    <w:p w14:paraId="4D4C32FB"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piniginio mato,</w:t>
      </w:r>
    </w:p>
    <w:p w14:paraId="7F4C946E"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palyginimo,</w:t>
      </w:r>
    </w:p>
    <w:p w14:paraId="37E74A94"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atsargumo,</w:t>
      </w:r>
    </w:p>
    <w:p w14:paraId="3F24EB1B"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neutralumo,</w:t>
      </w:r>
    </w:p>
    <w:p w14:paraId="065C2E66" w14:textId="77777777" w:rsidR="000E3CD7" w:rsidRPr="00175384" w:rsidRDefault="000E3CD7" w:rsidP="000E3CD7">
      <w:pPr>
        <w:pStyle w:val="Sraopastraipa"/>
        <w:numPr>
          <w:ilvl w:val="0"/>
          <w:numId w:val="2"/>
        </w:numPr>
        <w:spacing w:after="0" w:line="360" w:lineRule="auto"/>
        <w:jc w:val="both"/>
        <w:rPr>
          <w:rFonts w:ascii="Times New Roman" w:hAnsi="Times New Roman" w:cs="Times New Roman"/>
        </w:rPr>
      </w:pPr>
      <w:r w:rsidRPr="00175384">
        <w:rPr>
          <w:rFonts w:ascii="Times New Roman" w:hAnsi="Times New Roman" w:cs="Times New Roman"/>
        </w:rPr>
        <w:t>turinio viršenybės prieš formą.</w:t>
      </w:r>
    </w:p>
    <w:p w14:paraId="196CAC64" w14:textId="77777777" w:rsidR="000E3CD7" w:rsidRDefault="000E3CD7" w:rsidP="000E3CD7">
      <w:pPr>
        <w:spacing w:line="360" w:lineRule="auto"/>
        <w:ind w:firstLine="1296"/>
        <w:jc w:val="both"/>
        <w:rPr>
          <w:rFonts w:ascii="Times New Roman" w:hAnsi="Times New Roman" w:cs="Times New Roman"/>
        </w:rPr>
      </w:pPr>
      <w:r w:rsidRPr="00175384">
        <w:rPr>
          <w:rFonts w:ascii="Times New Roman" w:hAnsi="Times New Roman" w:cs="Times New Roman"/>
        </w:rPr>
        <w:t>Lazdijų krašto muziejuje muziejinės vertybės vertinamos tikrąja verte, vadovaujantis 2010 m. rugpjūčio 20 d. Lietuvos Respublikos kultūros ministro įsakymu Nr. IV-446 „Dėl muziejinių vertybių vertinimo metodinių rekomendacijų patvirtinimo“ ir 2015 m. vasario 7 d. LR kultūros ministro įsakymu Nr. IV-3 „Dėl muziejuose saugomų kilnojamųjų kultūros vertybių vertinimo tikrąja verte metodikos patvirtinimo“ bei įstaigos vadovo 2015 m. rugsėjo 21 d. įsakymu Nr. V1-12 patvirtinta tvarka.</w:t>
      </w:r>
    </w:p>
    <w:p w14:paraId="791E27AE" w14:textId="77777777" w:rsidR="000E3CD7" w:rsidRPr="00175384" w:rsidRDefault="000E3CD7" w:rsidP="000E3CD7">
      <w:pPr>
        <w:spacing w:line="360" w:lineRule="auto"/>
        <w:jc w:val="both"/>
        <w:rPr>
          <w:rFonts w:ascii="Times New Roman" w:hAnsi="Times New Roman" w:cs="Times New Roman"/>
        </w:rPr>
      </w:pPr>
    </w:p>
    <w:p w14:paraId="14E536A0" w14:textId="77777777" w:rsidR="000E3CD7" w:rsidRPr="00175384" w:rsidRDefault="000E3CD7" w:rsidP="000E3CD7">
      <w:pPr>
        <w:spacing w:line="360" w:lineRule="auto"/>
        <w:jc w:val="center"/>
        <w:rPr>
          <w:rFonts w:ascii="Times New Roman" w:hAnsi="Times New Roman" w:cs="Times New Roman"/>
          <w:b/>
        </w:rPr>
      </w:pPr>
      <w:r w:rsidRPr="00175384">
        <w:rPr>
          <w:rFonts w:ascii="Times New Roman" w:hAnsi="Times New Roman" w:cs="Times New Roman"/>
          <w:b/>
        </w:rPr>
        <w:lastRenderedPageBreak/>
        <w:t>Nematerialusis turtas</w:t>
      </w:r>
    </w:p>
    <w:p w14:paraId="386D47B5"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 xml:space="preserve">Nematerialusis turtas yra pripažįstamas, jei atitinka 13-ajame VSAFAS pateiktą sąvoką ir nematerialiajam turtui nustatytus kriterijus. </w:t>
      </w:r>
    </w:p>
    <w:p w14:paraId="5364AB57"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Nematerialusis turtas pirminio pripažinimo metu apskaitoje registruojamas įsigijimo savikaina.</w:t>
      </w:r>
    </w:p>
    <w:p w14:paraId="580E1879"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Viso įstaigos nematerialiojo turto naudingo tarnavimo laikas yra ribotas. Finansinėse ataskaitose šis turtas yra rodomas įsigijimo savikaina, atėmus sukauptą amortizacijos ir  nuvertėjimo, jei jis yra sumą.</w:t>
      </w:r>
    </w:p>
    <w:p w14:paraId="2FCDBB11"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Nematerialiojo turto amortizuojamoji vertė yra nuosekliai paskirstoma per visą nustatytą turto naudingo tarnavimo laiką tiesiogiai proporcingu metodu.</w:t>
      </w:r>
    </w:p>
    <w:p w14:paraId="028E3E3E" w14:textId="77777777" w:rsidR="000E3CD7" w:rsidRPr="00175384" w:rsidRDefault="000E3CD7" w:rsidP="000E3CD7">
      <w:pPr>
        <w:spacing w:line="360" w:lineRule="auto"/>
        <w:jc w:val="center"/>
        <w:rPr>
          <w:rFonts w:ascii="Times New Roman" w:hAnsi="Times New Roman" w:cs="Times New Roman"/>
          <w:b/>
        </w:rPr>
      </w:pPr>
      <w:r w:rsidRPr="00175384">
        <w:rPr>
          <w:rFonts w:ascii="Times New Roman" w:hAnsi="Times New Roman" w:cs="Times New Roman"/>
          <w:b/>
        </w:rPr>
        <w:t>Ilgalaikis materialusis turtas</w:t>
      </w:r>
    </w:p>
    <w:p w14:paraId="25F67371" w14:textId="77777777" w:rsidR="000E3CD7" w:rsidRPr="00175384" w:rsidRDefault="000E3CD7" w:rsidP="000E3CD7">
      <w:pPr>
        <w:spacing w:line="360" w:lineRule="auto"/>
        <w:ind w:firstLine="1296"/>
        <w:jc w:val="both"/>
        <w:rPr>
          <w:rFonts w:ascii="Times New Roman" w:hAnsi="Times New Roman" w:cs="Times New Roman"/>
          <w:bCs/>
        </w:rPr>
      </w:pPr>
      <w:r w:rsidRPr="00175384">
        <w:rPr>
          <w:rFonts w:ascii="Times New Roman" w:hAnsi="Times New Roman" w:cs="Times New Roman"/>
          <w:bCs/>
        </w:rPr>
        <w:t>Ilgalaikis materialusis turtas pripažįstamas ir registruojamas apskaitoje , jei jis atitinka ilgalaikio materialiojo turto sąvoką ir 12 VSAFAS nustatytus ilgalaikio materialiojo turto pripažinimo kriterijus.</w:t>
      </w:r>
    </w:p>
    <w:p w14:paraId="7AB78240"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Ilgalaikis turtas pagal pobūdį skirstomas į pagrindines grupes, nustatytas VSAFAS. Po pirminio pripažinimo ilgalaikis materialusis turtas, išskyrus kultūros vertybes, finansinėse ataskaitose rodomas įsigijimo savikaina, atėmus sukauptą nusidėvėjimą ir nuvertėjimo, jei jis yra, sumą.</w:t>
      </w:r>
    </w:p>
    <w:p w14:paraId="6D0CDE0A"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Ilgalaikio materialiojo turto nudėvimoji vertė yra nuosekliai paskirstoma per visą turto naudingo tarnavimo laiką.</w:t>
      </w:r>
    </w:p>
    <w:p w14:paraId="21AF0B2A" w14:textId="77777777" w:rsidR="000E3CD7"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Ilgalaikio materialiojo turto nusidėvėjimas skaičiuojamas taikant tiesiogiai proporcingą ( tiesinį) metodą pagal konkrečius materialiojo turto nusidėvėjimo normatyvus, patvirtintus direktoriaus 2013 m. rugpjūčio 21 d. įsakymu Nr. V1-21.</w:t>
      </w:r>
    </w:p>
    <w:p w14:paraId="534C0287" w14:textId="77777777" w:rsidR="000E3CD7" w:rsidRPr="00175384" w:rsidRDefault="000E3CD7" w:rsidP="000E3CD7">
      <w:pPr>
        <w:spacing w:line="360" w:lineRule="auto"/>
        <w:jc w:val="center"/>
        <w:rPr>
          <w:rFonts w:ascii="Times New Roman" w:hAnsi="Times New Roman" w:cs="Times New Roman"/>
          <w:b/>
        </w:rPr>
      </w:pPr>
      <w:r w:rsidRPr="00175384">
        <w:rPr>
          <w:rFonts w:ascii="Times New Roman" w:hAnsi="Times New Roman" w:cs="Times New Roman"/>
          <w:b/>
        </w:rPr>
        <w:t>Atsargos</w:t>
      </w:r>
    </w:p>
    <w:p w14:paraId="2609DEB2"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Pirminio pripažinimo metu atsargos įvertinamos įsigijimo savikaina.</w:t>
      </w:r>
    </w:p>
    <w:p w14:paraId="63B10A7C" w14:textId="77777777" w:rsidR="000E3CD7" w:rsidRPr="00175384" w:rsidRDefault="000E3CD7" w:rsidP="000E3CD7">
      <w:pPr>
        <w:spacing w:line="360" w:lineRule="auto"/>
        <w:ind w:firstLine="1296"/>
        <w:jc w:val="both"/>
        <w:rPr>
          <w:rFonts w:ascii="Times New Roman" w:hAnsi="Times New Roman" w:cs="Times New Roman"/>
          <w:bCs/>
        </w:rPr>
      </w:pPr>
      <w:r w:rsidRPr="00175384">
        <w:rPr>
          <w:rFonts w:ascii="Times New Roman" w:hAnsi="Times New Roman" w:cs="Times New Roman"/>
          <w:bCs/>
        </w:rPr>
        <w:t>Įstaigoje prie atsargų priskiriamas atiduotas naudoti ūkinis inventorius, kuris kiekine ir sumine išraiška apskaitomas nebalansinėje sąskaitoje.</w:t>
      </w:r>
    </w:p>
    <w:p w14:paraId="19EC1D40" w14:textId="77777777" w:rsidR="000E3CD7" w:rsidRPr="00175384" w:rsidRDefault="000E3CD7" w:rsidP="000E3CD7">
      <w:pPr>
        <w:spacing w:line="360" w:lineRule="auto"/>
        <w:ind w:firstLine="1296"/>
        <w:jc w:val="both"/>
        <w:rPr>
          <w:rFonts w:ascii="Times New Roman" w:hAnsi="Times New Roman" w:cs="Times New Roman"/>
          <w:bCs/>
        </w:rPr>
      </w:pPr>
      <w:r w:rsidRPr="00175384">
        <w:rPr>
          <w:rFonts w:ascii="Times New Roman" w:hAnsi="Times New Roman" w:cs="Times New Roman"/>
          <w:bCs/>
        </w:rPr>
        <w:t>Susidėvėjusio bei netinkamo naudoti ūkinio inventoriaus vertė traukiama į sąnaudas.</w:t>
      </w:r>
    </w:p>
    <w:p w14:paraId="122AF0CD" w14:textId="77777777" w:rsidR="000E3CD7" w:rsidRPr="00175384" w:rsidRDefault="000E3CD7" w:rsidP="000E3CD7">
      <w:pPr>
        <w:spacing w:line="360" w:lineRule="auto"/>
        <w:ind w:left="3888"/>
        <w:rPr>
          <w:rFonts w:ascii="Times New Roman" w:hAnsi="Times New Roman" w:cs="Times New Roman"/>
          <w:b/>
        </w:rPr>
      </w:pPr>
      <w:r>
        <w:rPr>
          <w:rFonts w:ascii="Times New Roman" w:hAnsi="Times New Roman" w:cs="Times New Roman"/>
          <w:b/>
        </w:rPr>
        <w:t xml:space="preserve">         </w:t>
      </w:r>
      <w:r w:rsidRPr="00175384">
        <w:rPr>
          <w:rFonts w:ascii="Times New Roman" w:hAnsi="Times New Roman" w:cs="Times New Roman"/>
          <w:b/>
        </w:rPr>
        <w:t>Gautinos sumos</w:t>
      </w:r>
    </w:p>
    <w:p w14:paraId="1464A611"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Gautinos sumos pirminio pripažinimo metu yra įvertinamos įsigijimo savikaina. Vėliau ilgalaikės gautinos sumos ataskaitose rodomos amortizuota savikaina, trumpalaikės gautinos sumos – įsigijimo savikaina.</w:t>
      </w:r>
    </w:p>
    <w:p w14:paraId="7443997D" w14:textId="77777777" w:rsidR="000E3CD7" w:rsidRPr="00175384" w:rsidRDefault="000E3CD7" w:rsidP="000E3CD7">
      <w:pPr>
        <w:spacing w:line="360" w:lineRule="auto"/>
        <w:jc w:val="center"/>
        <w:rPr>
          <w:rFonts w:ascii="Times New Roman" w:hAnsi="Times New Roman" w:cs="Times New Roman"/>
          <w:b/>
        </w:rPr>
      </w:pPr>
      <w:r w:rsidRPr="00175384">
        <w:rPr>
          <w:rFonts w:ascii="Times New Roman" w:hAnsi="Times New Roman" w:cs="Times New Roman"/>
          <w:b/>
        </w:rPr>
        <w:t>Finansavimo sumos</w:t>
      </w:r>
    </w:p>
    <w:p w14:paraId="60643CE8"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lastRenderedPageBreak/>
        <w:tab/>
        <w:t>Finansavimo sumos pripažįstamos, kai atitinka 20-ajame VSAFAS „Finansavimo sumos“ nustatytus kriterijus.</w:t>
      </w:r>
    </w:p>
    <w:p w14:paraId="00816AB9"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Finansavimo sumos – įstaigos iš savivaldybės ir valstybės biudžeto, Europos Sąjungos, Lietuvos ir užsienio paramos fondų gauti arba gautini pinigai arba kitas turtas, skirtas įstaigos nuostatuose nustatytiems tikslams pasiekti ir funkcijoms atlikti bei vykdomoms programoms įgyvendinti.</w:t>
      </w:r>
    </w:p>
    <w:p w14:paraId="7FE7F7E5"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Finansavimo sumos pagal paskirtį skirstomos į finansavimo sumas nepiniginiam turtui įsigyti ir finansavimo sumas kitoms išlaidoms kompensuoti.</w:t>
      </w:r>
    </w:p>
    <w:p w14:paraId="011E1158"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Finansavimo sumos nepiniginiam turtui įsigyti apima ir nemokamai gautą arba už simbolinį atlygį įsigytą nepiniginį turtą.</w:t>
      </w:r>
    </w:p>
    <w:p w14:paraId="798C1370"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Finansavimo sumos kitoms išlaidoms dengti yra skirtos ataskaitinio laikotarpio išlaidoms kompensuoti. Taip pat finansavimo sumomis, skirtomis kitoms išlaidoms kompensuoti, yra laikomos visos likusios finansavimo sumos, kurios nepriskiriamos nepiniginiam turtui įsigyti.</w:t>
      </w:r>
    </w:p>
    <w:p w14:paraId="0DD2B1EB" w14:textId="77777777" w:rsidR="000E3CD7"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Gautos (gautinos) ir panaudotos finansavimo sumos arba jų dalis pripažįstamos finansavimo pajamomis tais laikotarpiais, kuriais padaromos su finansavimo sumomis susijusios sąnaudos.</w:t>
      </w:r>
    </w:p>
    <w:p w14:paraId="6700378C" w14:textId="77777777" w:rsidR="000E3CD7" w:rsidRPr="00175384" w:rsidRDefault="000E3CD7" w:rsidP="000E3CD7">
      <w:pPr>
        <w:ind w:left="2592" w:firstLine="1296"/>
        <w:rPr>
          <w:rFonts w:ascii="Times New Roman" w:hAnsi="Times New Roman" w:cs="Times New Roman"/>
          <w:b/>
        </w:rPr>
      </w:pPr>
      <w:r w:rsidRPr="00175384">
        <w:rPr>
          <w:rFonts w:ascii="Times New Roman" w:hAnsi="Times New Roman" w:cs="Times New Roman"/>
          <w:b/>
        </w:rPr>
        <w:t>Finansiniai įsipareigojimai</w:t>
      </w:r>
    </w:p>
    <w:p w14:paraId="0E5FD206"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Įstaigos finansinių įsipareigojimų „Tiekėjams mokėtinos sumos“ yra mokėtinos sumos už suteiktas paslaugas bei įsigytas prekes.</w:t>
      </w:r>
    </w:p>
    <w:p w14:paraId="0D08F3B2" w14:textId="77777777" w:rsidR="000E3CD7" w:rsidRPr="00175384" w:rsidRDefault="000E3CD7" w:rsidP="000E3CD7">
      <w:pPr>
        <w:spacing w:line="360" w:lineRule="auto"/>
        <w:jc w:val="both"/>
        <w:rPr>
          <w:rFonts w:ascii="Times New Roman" w:hAnsi="Times New Roman" w:cs="Times New Roman"/>
          <w:bCs/>
        </w:rPr>
      </w:pPr>
      <w:r w:rsidRPr="00175384">
        <w:rPr>
          <w:rFonts w:ascii="Times New Roman" w:hAnsi="Times New Roman" w:cs="Times New Roman"/>
          <w:bCs/>
        </w:rPr>
        <w:tab/>
        <w:t>Finansinių įsipareigojimų „Su darbo santykiais susiję įsipareigojimai“ yra mokėtinas darbo užmokestis, socialinio draudimo įmokos, gyventojų pajamų mokestis bei kiti su darbo santykiais susiję įsipareigojimai.</w:t>
      </w:r>
    </w:p>
    <w:p w14:paraId="2B799A07" w14:textId="77777777" w:rsidR="000E3CD7" w:rsidRPr="00175384" w:rsidRDefault="000E3CD7" w:rsidP="000E3CD7">
      <w:pPr>
        <w:spacing w:line="360" w:lineRule="auto"/>
        <w:jc w:val="center"/>
        <w:rPr>
          <w:rFonts w:ascii="Times New Roman" w:hAnsi="Times New Roman" w:cs="Times New Roman"/>
        </w:rPr>
      </w:pPr>
      <w:r w:rsidRPr="00175384">
        <w:rPr>
          <w:rFonts w:ascii="Times New Roman" w:hAnsi="Times New Roman" w:cs="Times New Roman"/>
          <w:b/>
        </w:rPr>
        <w:t>III. PASTABOS</w:t>
      </w:r>
    </w:p>
    <w:p w14:paraId="7316D861" w14:textId="77777777" w:rsidR="000E3CD7" w:rsidRPr="00175384" w:rsidRDefault="000E3CD7" w:rsidP="000E3CD7">
      <w:pPr>
        <w:spacing w:line="360" w:lineRule="auto"/>
        <w:ind w:firstLine="540"/>
        <w:jc w:val="center"/>
        <w:rPr>
          <w:rFonts w:ascii="Times New Roman" w:hAnsi="Times New Roman" w:cs="Times New Roman"/>
          <w:b/>
          <w:bCs/>
        </w:rPr>
      </w:pPr>
      <w:r w:rsidRPr="00175384">
        <w:rPr>
          <w:rFonts w:ascii="Times New Roman" w:hAnsi="Times New Roman" w:cs="Times New Roman"/>
          <w:b/>
          <w:bCs/>
        </w:rPr>
        <w:t>FINANSINĖS BŪKLĖS ATASKAITA</w:t>
      </w:r>
    </w:p>
    <w:p w14:paraId="4E77F946" w14:textId="77777777" w:rsidR="000E3CD7" w:rsidRPr="00175384" w:rsidRDefault="000E3CD7" w:rsidP="000E3CD7">
      <w:pPr>
        <w:spacing w:line="360" w:lineRule="auto"/>
        <w:ind w:firstLine="540"/>
        <w:jc w:val="center"/>
        <w:rPr>
          <w:rFonts w:ascii="Times New Roman" w:hAnsi="Times New Roman" w:cs="Times New Roman"/>
          <w:b/>
          <w:bCs/>
        </w:rPr>
      </w:pPr>
      <w:r w:rsidRPr="00175384">
        <w:rPr>
          <w:rFonts w:ascii="Times New Roman" w:hAnsi="Times New Roman" w:cs="Times New Roman"/>
          <w:b/>
          <w:bCs/>
        </w:rPr>
        <w:t xml:space="preserve"> P01 Ilgalaikis nematerialusis turtas</w:t>
      </w:r>
    </w:p>
    <w:p w14:paraId="6BA2CBF7" w14:textId="77777777" w:rsidR="000E3CD7" w:rsidRPr="00175384" w:rsidRDefault="000E3CD7" w:rsidP="000E3CD7">
      <w:pPr>
        <w:spacing w:line="360" w:lineRule="auto"/>
        <w:ind w:firstLine="540"/>
        <w:jc w:val="center"/>
        <w:rPr>
          <w:rFonts w:ascii="Times New Roman" w:hAnsi="Times New Roman" w:cs="Times New Roman"/>
        </w:rPr>
      </w:pPr>
      <w:r w:rsidRPr="00175384">
        <w:rPr>
          <w:rFonts w:ascii="Times New Roman" w:hAnsi="Times New Roman" w:cs="Times New Roman"/>
        </w:rPr>
        <w:t xml:space="preserve"> Ilgalaikio nematerialaus turto pagal INT grupes pasikeitimas per ataskaitinį laikotarpį pateiktas 13 VSAFA 1 priede (Priedas Nr.1). Ilgalaikio nematerialiojo  turto balansinė vertė 2025 metų gruodžio 31d. buvo 9956,58 Eur (2024 metų gruodžio 31 d. –11738,78 Eur ). Turto</w:t>
      </w:r>
    </w:p>
    <w:p w14:paraId="5F77C541" w14:textId="77777777" w:rsidR="000E3CD7" w:rsidRPr="00175384" w:rsidRDefault="000E3CD7" w:rsidP="000E3CD7">
      <w:pPr>
        <w:spacing w:line="360" w:lineRule="auto"/>
        <w:rPr>
          <w:rFonts w:ascii="Times New Roman" w:hAnsi="Times New Roman" w:cs="Times New Roman"/>
        </w:rPr>
      </w:pPr>
      <w:r w:rsidRPr="00175384">
        <w:rPr>
          <w:rFonts w:ascii="Times New Roman" w:hAnsi="Times New Roman" w:cs="Times New Roman"/>
        </w:rPr>
        <w:t>balansinės vertės esminis  sumažėjimas atsirado  dėl  paskaičiuotos turto amortizacijos -1782,15 Eur.</w:t>
      </w:r>
    </w:p>
    <w:p w14:paraId="10D738A4" w14:textId="77777777" w:rsidR="000E3CD7" w:rsidRPr="00175384" w:rsidRDefault="000E3CD7" w:rsidP="000E3CD7">
      <w:pPr>
        <w:spacing w:line="360" w:lineRule="auto"/>
        <w:ind w:firstLine="540"/>
        <w:jc w:val="center"/>
        <w:rPr>
          <w:rFonts w:ascii="Times New Roman" w:hAnsi="Times New Roman" w:cs="Times New Roman"/>
          <w:b/>
          <w:bCs/>
        </w:rPr>
      </w:pPr>
      <w:r w:rsidRPr="00175384">
        <w:rPr>
          <w:rFonts w:ascii="Times New Roman" w:hAnsi="Times New Roman" w:cs="Times New Roman"/>
          <w:b/>
          <w:bCs/>
        </w:rPr>
        <w:t>P02  Ilgalaikis materialusis turtas</w:t>
      </w:r>
    </w:p>
    <w:p w14:paraId="2BA49FE1" w14:textId="77777777" w:rsidR="000E3CD7" w:rsidRPr="00175384" w:rsidRDefault="000E3CD7" w:rsidP="000E3CD7">
      <w:pPr>
        <w:autoSpaceDE w:val="0"/>
        <w:autoSpaceDN w:val="0"/>
        <w:adjustRightInd w:val="0"/>
        <w:spacing w:line="360" w:lineRule="auto"/>
        <w:ind w:firstLine="1298"/>
        <w:rPr>
          <w:rFonts w:ascii="Times New Roman" w:hAnsi="Times New Roman" w:cs="Times New Roman"/>
        </w:rPr>
      </w:pPr>
      <w:r w:rsidRPr="00175384">
        <w:rPr>
          <w:rFonts w:ascii="Times New Roman" w:hAnsi="Times New Roman" w:cs="Times New Roman"/>
        </w:rPr>
        <w:t xml:space="preserve"> Ilgalaikio materialaus turto pagal IMT grupes pasikeitimas per ataskaitinį laikotarpį pateiktas 12 VSAFA 1 priede (Priedas Nr.2) ir  12 VSAFA 2 priede (Priedas Nr.3)  , balansinė vertė 2025 metų gruodžio 31 d. buvo – 2648792,03 Eur (ilgalaikio materialiojo turto , vertinamo įsigijimo savikaina, </w:t>
      </w:r>
      <w:r w:rsidRPr="00175384">
        <w:rPr>
          <w:rFonts w:ascii="Times New Roman" w:hAnsi="Times New Roman" w:cs="Times New Roman"/>
        </w:rPr>
        <w:lastRenderedPageBreak/>
        <w:t>balansinė vertė – 1520183,17 Eur ir ilgalaikio materialiojo turto, vertinamo tikrąja verte, balansinė vertė – 1128608,86 Eur)  Turto balansinės vertės esminį  padidėjimą lėmė nemokamai gautas turtas iš viešojo sektoriaus ir kitų  subjektų ( ilgalaikio materialiojo turto , vertinamo  tikrąja verte) – 49609,38  Eur , turtas, įsigytas vykdant projektą „Pasienio keliais į prisiminimų begalybę- 119701,3 Eur ir įstaigos įsigytas automobilis – 11500,00 Eur.</w:t>
      </w:r>
    </w:p>
    <w:p w14:paraId="65964C55" w14:textId="77777777" w:rsidR="000E3CD7" w:rsidRPr="00175384" w:rsidRDefault="000E3CD7" w:rsidP="000E3CD7">
      <w:pPr>
        <w:autoSpaceDE w:val="0"/>
        <w:autoSpaceDN w:val="0"/>
        <w:adjustRightInd w:val="0"/>
        <w:spacing w:line="360" w:lineRule="auto"/>
        <w:ind w:firstLine="1298"/>
        <w:rPr>
          <w:rFonts w:ascii="Times New Roman" w:hAnsi="Times New Roman" w:cs="Times New Roman"/>
        </w:rPr>
      </w:pPr>
      <w:r w:rsidRPr="00175384">
        <w:rPr>
          <w:rFonts w:ascii="Times New Roman" w:hAnsi="Times New Roman" w:cs="Times New Roman"/>
        </w:rPr>
        <w:t xml:space="preserve"> Paskaičiuotas ilgalaikio turto nusidėvėjimas per ataskaitinį laikotarpį – 70091,38 Eur.  </w:t>
      </w:r>
    </w:p>
    <w:p w14:paraId="51FB51AA" w14:textId="77777777" w:rsidR="000E3CD7" w:rsidRPr="00175384" w:rsidRDefault="000E3CD7" w:rsidP="000E3CD7">
      <w:pPr>
        <w:autoSpaceDE w:val="0"/>
        <w:autoSpaceDN w:val="0"/>
        <w:adjustRightInd w:val="0"/>
        <w:spacing w:line="360" w:lineRule="auto"/>
        <w:ind w:firstLine="1298"/>
        <w:rPr>
          <w:rFonts w:ascii="Times New Roman" w:hAnsi="Times New Roman" w:cs="Times New Roman"/>
        </w:rPr>
      </w:pPr>
      <w:r w:rsidRPr="00175384">
        <w:rPr>
          <w:rFonts w:ascii="Times New Roman" w:hAnsi="Times New Roman" w:cs="Times New Roman"/>
        </w:rPr>
        <w:t>Didžiausią turto dalį muziejuje sudaro kultūros vertybės, kurių tikroji vertė ataskaitinio laikotarpio pabaigoje –  1128608,86 Eur.</w:t>
      </w:r>
    </w:p>
    <w:p w14:paraId="3178B91B" w14:textId="77777777" w:rsidR="000E3CD7" w:rsidRPr="00175384" w:rsidRDefault="000E3CD7" w:rsidP="000E3CD7">
      <w:pPr>
        <w:autoSpaceDE w:val="0"/>
        <w:autoSpaceDN w:val="0"/>
        <w:adjustRightInd w:val="0"/>
        <w:spacing w:line="360" w:lineRule="auto"/>
        <w:ind w:firstLine="1298"/>
        <w:rPr>
          <w:rFonts w:ascii="Times New Roman" w:hAnsi="Times New Roman" w:cs="Times New Roman"/>
          <w:bCs/>
        </w:rPr>
      </w:pPr>
      <w:r w:rsidRPr="00175384">
        <w:rPr>
          <w:rFonts w:ascii="Times New Roman" w:hAnsi="Times New Roman" w:cs="Times New Roman"/>
          <w:bCs/>
        </w:rPr>
        <w:t>Pagal panaudos sutartį gauto ilgalaikio materialiojo turto vertė, nurodyta panaudos sutartyse, paskutinę ataskaitinio laikotarpio dieną – 173165,40 Eur. Muziejaus pagal panaudos sutartis naudojasi kitų VSS suteiktomis patalpomis (4 priedas).</w:t>
      </w:r>
    </w:p>
    <w:p w14:paraId="7F620C2F"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Per ataskaitinį laikotarpį muziejuje nurašyta ilgalaikio materialaus turto už  1042,63 Eur kaip nereikalingo, netinkamo naudoti.</w:t>
      </w:r>
    </w:p>
    <w:p w14:paraId="6F7A5CEF"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Turto, perduoto turto bankui, nėra.</w:t>
      </w:r>
    </w:p>
    <w:p w14:paraId="444C3263"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Turto, kurio kontrolę riboja sutartys ar teisės aktai, ir turto, užstatyto kaip įsipareigojimų įvykdymo garantija, muziejus neturi.</w:t>
      </w:r>
    </w:p>
    <w:p w14:paraId="3A35D9A8"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 xml:space="preserve"> Biologinio turto nėra. </w:t>
      </w:r>
    </w:p>
    <w:p w14:paraId="3EEBC5C4" w14:textId="77777777" w:rsidR="000E3CD7" w:rsidRPr="00175384" w:rsidRDefault="000E3CD7" w:rsidP="000E3CD7">
      <w:pPr>
        <w:autoSpaceDE w:val="0"/>
        <w:autoSpaceDN w:val="0"/>
        <w:adjustRightInd w:val="0"/>
        <w:spacing w:line="276" w:lineRule="auto"/>
        <w:ind w:firstLine="1298"/>
        <w:jc w:val="center"/>
        <w:rPr>
          <w:rFonts w:ascii="Times New Roman" w:hAnsi="Times New Roman" w:cs="Times New Roman"/>
          <w:b/>
          <w:bCs/>
        </w:rPr>
      </w:pPr>
      <w:r w:rsidRPr="00175384">
        <w:rPr>
          <w:rFonts w:ascii="Times New Roman" w:hAnsi="Times New Roman" w:cs="Times New Roman"/>
          <w:b/>
          <w:bCs/>
        </w:rPr>
        <w:t>P03 Trumpalaikis turtas</w:t>
      </w:r>
    </w:p>
    <w:p w14:paraId="760ED1D5" w14:textId="77777777" w:rsidR="000E3CD7" w:rsidRPr="00175384" w:rsidRDefault="000E3CD7" w:rsidP="000E3CD7">
      <w:pPr>
        <w:autoSpaceDE w:val="0"/>
        <w:autoSpaceDN w:val="0"/>
        <w:adjustRightInd w:val="0"/>
        <w:spacing w:line="276" w:lineRule="auto"/>
        <w:ind w:firstLine="1298"/>
        <w:rPr>
          <w:rFonts w:ascii="Times New Roman" w:hAnsi="Times New Roman" w:cs="Times New Roman"/>
          <w:b/>
          <w:bCs/>
        </w:rPr>
      </w:pPr>
    </w:p>
    <w:p w14:paraId="3194CC38" w14:textId="77777777" w:rsidR="000E3CD7" w:rsidRPr="00175384" w:rsidRDefault="000E3CD7" w:rsidP="000E3CD7">
      <w:pPr>
        <w:autoSpaceDE w:val="0"/>
        <w:autoSpaceDN w:val="0"/>
        <w:adjustRightInd w:val="0"/>
        <w:spacing w:line="360" w:lineRule="auto"/>
        <w:ind w:firstLine="1298"/>
        <w:rPr>
          <w:rFonts w:ascii="Times New Roman" w:hAnsi="Times New Roman" w:cs="Times New Roman"/>
        </w:rPr>
      </w:pPr>
      <w:r w:rsidRPr="00175384">
        <w:rPr>
          <w:rFonts w:ascii="Times New Roman" w:hAnsi="Times New Roman" w:cs="Times New Roman"/>
          <w:bCs/>
        </w:rPr>
        <w:t xml:space="preserve"> Atsargų likutis ataskaitinio laikotarpio  pabaigoje –5196,27 Eur </w:t>
      </w:r>
      <w:r w:rsidRPr="00175384">
        <w:rPr>
          <w:rFonts w:ascii="Times New Roman" w:hAnsi="Times New Roman" w:cs="Times New Roman"/>
        </w:rPr>
        <w:t>( 2024 metais – 1350,12 Eur). Jį sudaro</w:t>
      </w:r>
      <w:r w:rsidRPr="00175384">
        <w:rPr>
          <w:rFonts w:ascii="Times New Roman" w:hAnsi="Times New Roman" w:cs="Times New Roman"/>
          <w:bCs/>
        </w:rPr>
        <w:t xml:space="preserve">  medžiagos ir žaliavos (kanceliarinės prekės ir raštinės reikmenys bei buitinės prekės, skirtos įstaigos ūkinėms reikmėms ).  2025 m. atsargų nemokamai negauta. </w:t>
      </w:r>
      <w:r w:rsidRPr="00175384">
        <w:rPr>
          <w:rFonts w:ascii="Times New Roman" w:hAnsi="Times New Roman" w:cs="Times New Roman"/>
        </w:rPr>
        <w:t xml:space="preserve">Muziejus per ataskaitinį laikotarpį įsigijo  medžiagų ir kitų atsargų  už 19825,73 Eur. Vadovaujantis 12-ojo VSAFAS 86 punktu , ilgalaikio materialiojo turto vienetai, neatitinkantys 12 VSAFAS nustatytų ilgalaikio materialiojo turto pripažinimo kriterijų, buvo pergrupuoti į atsargas – 51955,47 Eur. </w:t>
      </w:r>
    </w:p>
    <w:p w14:paraId="346B534A"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Įstaigos reikmėms sunaudojo atsargų  už 15979,58  ir 51955,47 perkelta į nebalansinę ūkinio inventoriaus sąskaitą.</w:t>
      </w:r>
    </w:p>
    <w:p w14:paraId="14671AA6"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 xml:space="preserve">Informacija apie balansinį atsargų vertės pasikeitimą per ataskaitinį laikotarpį pateikiama 8 VSAFAS 1 priede (Priedas Nr. 5). </w:t>
      </w:r>
    </w:p>
    <w:p w14:paraId="527600D6" w14:textId="77777777" w:rsidR="000E3CD7" w:rsidRDefault="000E3CD7" w:rsidP="000E3CD7">
      <w:pPr>
        <w:spacing w:line="360" w:lineRule="auto"/>
        <w:ind w:firstLine="1260"/>
        <w:jc w:val="both"/>
        <w:rPr>
          <w:rFonts w:ascii="Times New Roman" w:hAnsi="Times New Roman" w:cs="Times New Roman"/>
        </w:rPr>
      </w:pPr>
    </w:p>
    <w:p w14:paraId="140AE3DE" w14:textId="77777777" w:rsidR="000E3CD7" w:rsidRDefault="000E3CD7" w:rsidP="000E3CD7">
      <w:pPr>
        <w:spacing w:line="360" w:lineRule="auto"/>
        <w:ind w:firstLine="1260"/>
        <w:jc w:val="both"/>
        <w:rPr>
          <w:rFonts w:ascii="Times New Roman" w:hAnsi="Times New Roman" w:cs="Times New Roman"/>
        </w:rPr>
      </w:pPr>
    </w:p>
    <w:p w14:paraId="00D47220" w14:textId="77777777" w:rsidR="000E3CD7" w:rsidRPr="00175384" w:rsidRDefault="000E3CD7" w:rsidP="000E3CD7">
      <w:pPr>
        <w:spacing w:line="360" w:lineRule="auto"/>
        <w:ind w:firstLine="1260"/>
        <w:jc w:val="both"/>
        <w:rPr>
          <w:rFonts w:ascii="Times New Roman" w:hAnsi="Times New Roman" w:cs="Times New Roman"/>
        </w:rPr>
      </w:pPr>
    </w:p>
    <w:p w14:paraId="712AEB1F" w14:textId="77777777" w:rsidR="000E3CD7" w:rsidRPr="00175384" w:rsidRDefault="000E3CD7" w:rsidP="000E3CD7">
      <w:pPr>
        <w:autoSpaceDE w:val="0"/>
        <w:autoSpaceDN w:val="0"/>
        <w:adjustRightInd w:val="0"/>
        <w:spacing w:line="276" w:lineRule="auto"/>
        <w:ind w:firstLine="1298"/>
        <w:jc w:val="center"/>
        <w:rPr>
          <w:rFonts w:ascii="Times New Roman" w:hAnsi="Times New Roman" w:cs="Times New Roman"/>
          <w:b/>
        </w:rPr>
      </w:pPr>
      <w:r w:rsidRPr="00175384">
        <w:rPr>
          <w:rFonts w:ascii="Times New Roman" w:hAnsi="Times New Roman" w:cs="Times New Roman"/>
          <w:b/>
        </w:rPr>
        <w:lastRenderedPageBreak/>
        <w:t>P04 Išankstiniai apmokėjimai</w:t>
      </w:r>
    </w:p>
    <w:p w14:paraId="168AF8A1"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 </w:t>
      </w:r>
      <w:r w:rsidRPr="00175384">
        <w:rPr>
          <w:rFonts w:ascii="Times New Roman" w:hAnsi="Times New Roman" w:cs="Times New Roman"/>
        </w:rPr>
        <w:t>Muziejaus išankstinių apmokėjimų sumos pateikiamos 6 VSAFAS 6 priedo (Priedas Nr. 6) lentelėje, t. y. kiti išankstiniai apmokėjimai ir kitos ateinančių laikotarpių sąnaudos- 1775,80 Eur , kurias sudaro  spaudinių prenumerata – 404,42 Eur, muziejaus pastatų draudimas -926,87 Eur, licencijų prenumerata – 363,87 Eur, išankstiniai apmokėjimai tiekėjams – 80,64 Eur. Šios sumos užregistruotos apskaitoje ir apmokėtos 2025 metais, o sąnaudos ir pajamos bus pripažintos ateinančių laikotarpių.</w:t>
      </w:r>
    </w:p>
    <w:p w14:paraId="6C70FAF3" w14:textId="77777777" w:rsidR="000E3CD7" w:rsidRPr="00175384" w:rsidRDefault="000E3CD7" w:rsidP="000E3CD7">
      <w:pPr>
        <w:autoSpaceDE w:val="0"/>
        <w:autoSpaceDN w:val="0"/>
        <w:adjustRightInd w:val="0"/>
        <w:spacing w:line="276" w:lineRule="auto"/>
        <w:ind w:firstLine="1298"/>
        <w:jc w:val="center"/>
        <w:rPr>
          <w:rFonts w:ascii="Times New Roman" w:hAnsi="Times New Roman" w:cs="Times New Roman"/>
          <w:b/>
        </w:rPr>
      </w:pPr>
      <w:r w:rsidRPr="00175384">
        <w:rPr>
          <w:rFonts w:ascii="Times New Roman" w:hAnsi="Times New Roman" w:cs="Times New Roman"/>
          <w:b/>
        </w:rPr>
        <w:t>P05 Sukauptos gautinos sumos</w:t>
      </w:r>
    </w:p>
    <w:p w14:paraId="45581A8A"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 xml:space="preserve">Informacija apie per vienerius metus gautinas sumas (27151,84 Eur) pateikta 17 VSAFAS 7 priede (Priedas Nr. 7).  Iš jų: 19264,51 Eur - sukauptos gautinos sumos iš savivaldybės biudžeto, 7875,33 Eur - sukauptos pajamos ir 12 Eur – iš kitų subjektų. Muziejus neturi gautinų sumų, kurioms būtų pripažintas nuvertėjimas. </w:t>
      </w:r>
    </w:p>
    <w:p w14:paraId="5FFEE717" w14:textId="77777777" w:rsidR="000E3CD7" w:rsidRPr="00175384" w:rsidRDefault="000E3CD7" w:rsidP="000E3CD7">
      <w:pPr>
        <w:spacing w:line="360" w:lineRule="auto"/>
        <w:ind w:firstLine="1260"/>
        <w:jc w:val="center"/>
        <w:rPr>
          <w:rFonts w:ascii="Times New Roman" w:hAnsi="Times New Roman" w:cs="Times New Roman"/>
          <w:b/>
          <w:bCs/>
        </w:rPr>
      </w:pPr>
      <w:r w:rsidRPr="00175384">
        <w:rPr>
          <w:rFonts w:ascii="Times New Roman" w:hAnsi="Times New Roman" w:cs="Times New Roman"/>
          <w:b/>
          <w:bCs/>
        </w:rPr>
        <w:t>P06 Pinigai ir pinigų ekvivalentai</w:t>
      </w:r>
    </w:p>
    <w:p w14:paraId="50F437B8" w14:textId="77777777" w:rsidR="000E3CD7" w:rsidRPr="00175384" w:rsidRDefault="000E3CD7" w:rsidP="000E3CD7">
      <w:pPr>
        <w:autoSpaceDE w:val="0"/>
        <w:autoSpaceDN w:val="0"/>
        <w:adjustRightInd w:val="0"/>
        <w:spacing w:line="360" w:lineRule="auto"/>
        <w:ind w:firstLine="1298"/>
        <w:jc w:val="both"/>
        <w:rPr>
          <w:rFonts w:ascii="Times New Roman" w:hAnsi="Times New Roman" w:cs="Times New Roman"/>
          <w:bCs/>
        </w:rPr>
      </w:pPr>
      <w:r w:rsidRPr="00175384">
        <w:rPr>
          <w:rFonts w:ascii="Times New Roman" w:hAnsi="Times New Roman" w:cs="Times New Roman"/>
          <w:b/>
          <w:bCs/>
        </w:rPr>
        <w:t xml:space="preserve"> </w:t>
      </w:r>
      <w:r w:rsidRPr="00175384">
        <w:rPr>
          <w:rFonts w:ascii="Times New Roman" w:hAnsi="Times New Roman" w:cs="Times New Roman"/>
        </w:rPr>
        <w:t>Informacija apie pinigus pateikta 17 VSAFAS 8 priede (Priedas Nr. 8). Muziejus ataskaitinio laikotarpio pabaigoje biudžeto asignavimų likučio neturi.  Pinigų likutis muziejaus banko sąskaitose  2025 12 31 buvo – 767,22 Eur</w:t>
      </w:r>
      <w:r w:rsidRPr="00175384">
        <w:rPr>
          <w:rFonts w:ascii="Times New Roman" w:hAnsi="Times New Roman" w:cs="Times New Roman"/>
          <w:b/>
        </w:rPr>
        <w:t xml:space="preserve"> (</w:t>
      </w:r>
      <w:r w:rsidRPr="00175384">
        <w:rPr>
          <w:rFonts w:ascii="Times New Roman" w:hAnsi="Times New Roman" w:cs="Times New Roman"/>
          <w:bCs/>
        </w:rPr>
        <w:t>labdaros  paramos lėšos).</w:t>
      </w:r>
    </w:p>
    <w:p w14:paraId="440A69EE" w14:textId="77777777" w:rsidR="000E3CD7" w:rsidRPr="00175384" w:rsidRDefault="000E3CD7" w:rsidP="000E3CD7">
      <w:pPr>
        <w:autoSpaceDE w:val="0"/>
        <w:autoSpaceDN w:val="0"/>
        <w:adjustRightInd w:val="0"/>
        <w:ind w:firstLine="1298"/>
        <w:jc w:val="center"/>
        <w:rPr>
          <w:rFonts w:ascii="Times New Roman" w:hAnsi="Times New Roman" w:cs="Times New Roman"/>
          <w:b/>
          <w:bCs/>
        </w:rPr>
      </w:pPr>
      <w:r w:rsidRPr="00175384">
        <w:rPr>
          <w:rFonts w:ascii="Times New Roman" w:hAnsi="Times New Roman" w:cs="Times New Roman"/>
          <w:b/>
          <w:bCs/>
        </w:rPr>
        <w:t>P07 Finansavimo sumos</w:t>
      </w:r>
    </w:p>
    <w:p w14:paraId="5E8EB25D" w14:textId="77777777" w:rsidR="000E3CD7" w:rsidRPr="00175384" w:rsidRDefault="000E3CD7" w:rsidP="000E3CD7">
      <w:pPr>
        <w:autoSpaceDE w:val="0"/>
        <w:autoSpaceDN w:val="0"/>
        <w:adjustRightInd w:val="0"/>
        <w:spacing w:line="276" w:lineRule="auto"/>
        <w:ind w:firstLine="1298"/>
        <w:rPr>
          <w:rFonts w:ascii="Times New Roman" w:hAnsi="Times New Roman" w:cs="Times New Roman"/>
          <w:b/>
          <w:bCs/>
        </w:rPr>
      </w:pPr>
    </w:p>
    <w:p w14:paraId="235D9100"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Informacija apie finansavimo sumas pateikiama 20 VSAFAS</w:t>
      </w:r>
      <w:r w:rsidRPr="00175384">
        <w:rPr>
          <w:rFonts w:ascii="Times New Roman" w:hAnsi="Times New Roman" w:cs="Times New Roman"/>
          <w:b/>
          <w:bCs/>
        </w:rPr>
        <w:t xml:space="preserve"> </w:t>
      </w:r>
      <w:r w:rsidRPr="00175384">
        <w:rPr>
          <w:rFonts w:ascii="Times New Roman" w:hAnsi="Times New Roman" w:cs="Times New Roman"/>
        </w:rPr>
        <w:t>4, 5 prieduose (Priedas Nr. 9; 10 ).</w:t>
      </w:r>
    </w:p>
    <w:p w14:paraId="5790601A"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Finansavimo sumų likutis ataskaitinio laikotarpio pabaigoje sudaro 2642053,54 Eur, t. y. iš valstybės biudžeto – 445029,78 Eur, iš savivaldybės biudžeto  - 887988,59 Eur, iš Europos Sąjungos – 817690,33 Eur ir iš kitų šaltinių – 491344,84 Eur.</w:t>
      </w:r>
    </w:p>
    <w:p w14:paraId="58C39AA3"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Palyginus su ankstesniu ataskaitiniu laikotarpiu, finansavimo sumų likutis padidėjo 60197,43 Eur.</w:t>
      </w:r>
    </w:p>
    <w:p w14:paraId="63104D35"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Per ataskaitinį laikotarpį gautas finansavimo sumas (išskyrus nemokamai gautą turtą) sudaro 709520,83 Eur, iš jų:</w:t>
      </w:r>
    </w:p>
    <w:p w14:paraId="036EDCF9" w14:textId="77777777" w:rsidR="000E3CD7" w:rsidRPr="00175384" w:rsidRDefault="000E3CD7" w:rsidP="000E3CD7">
      <w:pPr>
        <w:pStyle w:val="Sraopastraipa"/>
        <w:spacing w:line="360" w:lineRule="auto"/>
        <w:ind w:left="1656"/>
        <w:jc w:val="both"/>
        <w:rPr>
          <w:rFonts w:ascii="Times New Roman" w:hAnsi="Times New Roman" w:cs="Times New Roman"/>
        </w:rPr>
      </w:pPr>
      <w:r w:rsidRPr="00175384">
        <w:rPr>
          <w:rFonts w:ascii="Times New Roman" w:hAnsi="Times New Roman" w:cs="Times New Roman"/>
        </w:rPr>
        <w:t>valstybės biudžeto finansavimo sumos- 0,00 Eur;</w:t>
      </w:r>
    </w:p>
    <w:p w14:paraId="4F1FF374" w14:textId="77777777" w:rsidR="000E3CD7" w:rsidRPr="00175384" w:rsidRDefault="000E3CD7" w:rsidP="000E3CD7">
      <w:pPr>
        <w:pStyle w:val="Sraopastraipa"/>
        <w:spacing w:line="360" w:lineRule="auto"/>
        <w:ind w:left="1656"/>
        <w:jc w:val="both"/>
        <w:rPr>
          <w:rFonts w:ascii="Times New Roman" w:hAnsi="Times New Roman" w:cs="Times New Roman"/>
        </w:rPr>
      </w:pPr>
      <w:r w:rsidRPr="00175384">
        <w:rPr>
          <w:rFonts w:ascii="Times New Roman" w:hAnsi="Times New Roman" w:cs="Times New Roman"/>
        </w:rPr>
        <w:t xml:space="preserve">savivaldybės biudžeto finansavimo sumos – 458954,36 Eur; </w:t>
      </w:r>
    </w:p>
    <w:p w14:paraId="17CB8F6C" w14:textId="77777777" w:rsidR="000E3CD7" w:rsidRPr="0005086F" w:rsidRDefault="000E3CD7" w:rsidP="000E3CD7">
      <w:pPr>
        <w:pStyle w:val="Sraopastraipa"/>
        <w:spacing w:line="360" w:lineRule="auto"/>
        <w:ind w:left="1656"/>
        <w:jc w:val="both"/>
        <w:rPr>
          <w:rFonts w:ascii="Times New Roman" w:hAnsi="Times New Roman" w:cs="Times New Roman"/>
          <w:b/>
          <w:bCs/>
        </w:rPr>
      </w:pPr>
      <w:r w:rsidRPr="00175384">
        <w:rPr>
          <w:rFonts w:ascii="Times New Roman" w:hAnsi="Times New Roman" w:cs="Times New Roman"/>
        </w:rPr>
        <w:t>Europos sąjungos, užsienio valstybių ir tarptautinių organizacijų</w:t>
      </w:r>
      <w:r w:rsidRPr="00175384">
        <w:rPr>
          <w:rFonts w:ascii="Times New Roman" w:hAnsi="Times New Roman" w:cs="Times New Roman"/>
          <w:b/>
          <w:bCs/>
        </w:rPr>
        <w:t xml:space="preserve">  </w:t>
      </w:r>
      <w:r w:rsidRPr="00175384">
        <w:rPr>
          <w:rFonts w:ascii="Times New Roman" w:hAnsi="Times New Roman" w:cs="Times New Roman"/>
        </w:rPr>
        <w:t xml:space="preserve">- 250066,47 Eur; </w:t>
      </w:r>
      <w:r w:rsidRPr="0005086F">
        <w:rPr>
          <w:rFonts w:ascii="Times New Roman" w:hAnsi="Times New Roman" w:cs="Times New Roman"/>
        </w:rPr>
        <w:t>kitų finansavimo šaltinių sumos – 500,00 Eur;</w:t>
      </w:r>
    </w:p>
    <w:p w14:paraId="7749D362" w14:textId="77777777" w:rsidR="000E3CD7" w:rsidRPr="00175384" w:rsidRDefault="000E3CD7" w:rsidP="000E3CD7">
      <w:pPr>
        <w:autoSpaceDE w:val="0"/>
        <w:autoSpaceDN w:val="0"/>
        <w:adjustRightInd w:val="0"/>
        <w:ind w:firstLine="1298"/>
        <w:jc w:val="center"/>
        <w:rPr>
          <w:rFonts w:ascii="Times New Roman" w:hAnsi="Times New Roman" w:cs="Times New Roman"/>
          <w:b/>
        </w:rPr>
      </w:pPr>
    </w:p>
    <w:p w14:paraId="663F5CCC" w14:textId="77777777" w:rsidR="000E3CD7" w:rsidRPr="00175384" w:rsidRDefault="000E3CD7" w:rsidP="000E3CD7">
      <w:pPr>
        <w:autoSpaceDE w:val="0"/>
        <w:autoSpaceDN w:val="0"/>
        <w:adjustRightInd w:val="0"/>
        <w:ind w:firstLine="1298"/>
        <w:jc w:val="center"/>
        <w:rPr>
          <w:rFonts w:ascii="Times New Roman" w:hAnsi="Times New Roman" w:cs="Times New Roman"/>
          <w:b/>
        </w:rPr>
      </w:pPr>
      <w:r w:rsidRPr="00175384">
        <w:rPr>
          <w:rFonts w:ascii="Times New Roman" w:hAnsi="Times New Roman" w:cs="Times New Roman"/>
          <w:b/>
        </w:rPr>
        <w:t>P08 Sukauptos mokėtinos sumos</w:t>
      </w:r>
    </w:p>
    <w:p w14:paraId="27D7E43D"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 xml:space="preserve"> Trumpalaikes</w:t>
      </w:r>
      <w:r w:rsidRPr="00175384">
        <w:rPr>
          <w:rFonts w:ascii="Times New Roman" w:hAnsi="Times New Roman" w:cs="Times New Roman"/>
          <w:bCs/>
        </w:rPr>
        <w:t xml:space="preserve"> mokėtino sumos 2025 12 31 buvo – 49413,51 Eur</w:t>
      </w:r>
      <w:r w:rsidRPr="00175384">
        <w:rPr>
          <w:rFonts w:ascii="Times New Roman" w:hAnsi="Times New Roman" w:cs="Times New Roman"/>
          <w:b/>
        </w:rPr>
        <w:t xml:space="preserve">. </w:t>
      </w:r>
      <w:r w:rsidRPr="00175384">
        <w:rPr>
          <w:rFonts w:ascii="Times New Roman" w:hAnsi="Times New Roman" w:cs="Times New Roman"/>
          <w:bCs/>
        </w:rPr>
        <w:t>Su darbo santykiais susiję įsipareigojimai –61,595 Eur. Tiekėjams mokėtinos sumos sudaro 6149,509 Eur (839,65</w:t>
      </w:r>
      <w:r w:rsidRPr="00175384">
        <w:rPr>
          <w:rFonts w:ascii="Times New Roman" w:hAnsi="Times New Roman" w:cs="Times New Roman"/>
        </w:rPr>
        <w:t xml:space="preserve"> Eur - įsiskolinimas </w:t>
      </w:r>
      <w:r w:rsidRPr="00175384">
        <w:rPr>
          <w:rFonts w:ascii="Times New Roman" w:hAnsi="Times New Roman" w:cs="Times New Roman"/>
        </w:rPr>
        <w:lastRenderedPageBreak/>
        <w:t>viešojo sektoriaus subjektams). Sukauptos atostoginių sąnaudos – 12853,05 Eur.   Informacija apie kai kurias trumpalaikes mokėtinas sumas pateikiama 17 VSAFAS 12 priede (Priedas Nr. 11).</w:t>
      </w:r>
    </w:p>
    <w:p w14:paraId="205BC1BE"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Pradelstų įsiskolinimų ataskaitinio laikotarpio pabaigoje muziejus neturėjo.</w:t>
      </w:r>
    </w:p>
    <w:p w14:paraId="7B2457BB"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Ilgalaikių įsipareigojimų muziejus neturi.</w:t>
      </w:r>
    </w:p>
    <w:p w14:paraId="3C46AC9A" w14:textId="77777777" w:rsidR="000E3CD7" w:rsidRPr="00175384" w:rsidRDefault="000E3CD7" w:rsidP="000E3CD7">
      <w:pPr>
        <w:spacing w:line="360" w:lineRule="auto"/>
        <w:ind w:firstLine="1260"/>
        <w:jc w:val="center"/>
        <w:rPr>
          <w:rFonts w:ascii="Times New Roman" w:hAnsi="Times New Roman" w:cs="Times New Roman"/>
          <w:b/>
          <w:bCs/>
        </w:rPr>
      </w:pPr>
      <w:r w:rsidRPr="00175384">
        <w:rPr>
          <w:rFonts w:ascii="Times New Roman" w:hAnsi="Times New Roman" w:cs="Times New Roman"/>
          <w:b/>
          <w:bCs/>
        </w:rPr>
        <w:t xml:space="preserve"> P09 Muziejaus grynasis turtas</w:t>
      </w:r>
    </w:p>
    <w:p w14:paraId="7E585999"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Muziejaus grynasis turtas (2172,69 Eur) susideda iš sukaupto perviršio ar deficito. Pokytis pateiktas 4-ojo VSAFAS „Grynojo turto pokyčių ataskaitoje“ 1 priede.</w:t>
      </w:r>
    </w:p>
    <w:p w14:paraId="1E7231A1" w14:textId="77777777" w:rsidR="000E3CD7" w:rsidRPr="00175384" w:rsidRDefault="000E3CD7" w:rsidP="000E3CD7">
      <w:pPr>
        <w:spacing w:line="360" w:lineRule="auto"/>
        <w:ind w:firstLine="1260"/>
        <w:jc w:val="center"/>
        <w:rPr>
          <w:rFonts w:ascii="Times New Roman" w:hAnsi="Times New Roman" w:cs="Times New Roman"/>
          <w:b/>
          <w:bCs/>
        </w:rPr>
      </w:pPr>
      <w:r w:rsidRPr="00175384">
        <w:rPr>
          <w:rFonts w:ascii="Times New Roman" w:hAnsi="Times New Roman" w:cs="Times New Roman"/>
          <w:b/>
          <w:bCs/>
        </w:rPr>
        <w:t>VEIKLOS REZULTATŲ ATASKAITA</w:t>
      </w:r>
    </w:p>
    <w:p w14:paraId="1DE6A876"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P10 pastaba. </w:t>
      </w:r>
      <w:r w:rsidRPr="00175384">
        <w:rPr>
          <w:rFonts w:ascii="Times New Roman" w:hAnsi="Times New Roman" w:cs="Times New Roman"/>
        </w:rPr>
        <w:t xml:space="preserve">Muziejaus finansavimo pajamas per ataskaitinį laikotarpį sudarė 452849,81  Eur. </w:t>
      </w:r>
    </w:p>
    <w:p w14:paraId="34D96879"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11. pastaba. </w:t>
      </w:r>
      <w:r w:rsidRPr="00175384">
        <w:rPr>
          <w:rFonts w:ascii="Times New Roman" w:hAnsi="Times New Roman" w:cs="Times New Roman"/>
        </w:rPr>
        <w:t>Finansavimo pajamos iš valstybės biudžeto – 20855,55 Eur.</w:t>
      </w:r>
    </w:p>
    <w:p w14:paraId="1389A6E0"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P12.pastaba. </w:t>
      </w:r>
      <w:r w:rsidRPr="00175384">
        <w:rPr>
          <w:rFonts w:ascii="Times New Roman" w:hAnsi="Times New Roman" w:cs="Times New Roman"/>
        </w:rPr>
        <w:t>Finansavimo pajamos iš savivaldybės biudžeto – 378647,46 Eur.</w:t>
      </w:r>
    </w:p>
    <w:p w14:paraId="22D3ACB4"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P13 pastaba. </w:t>
      </w:r>
      <w:r w:rsidRPr="00175384">
        <w:rPr>
          <w:rFonts w:ascii="Times New Roman" w:hAnsi="Times New Roman" w:cs="Times New Roman"/>
        </w:rPr>
        <w:t>Muziejaus pagrindinės veiklos sąnaudos sudaro – 450624,60 Eur.</w:t>
      </w:r>
    </w:p>
    <w:p w14:paraId="2D953A40"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 xml:space="preserve"> Didžiausią dalį sudaro darbo užmokesčio ir socialinio draudimo sąnaudos (289372,71 Eur). Palyginus su praėjusių metų tuo pačiu laikotarpiu, sąnaudos sumažėjo 42061,41 Eur, pagrinde dėl darbo užmokesčio sąnaudų (darbuotojų kaita, nedarbingumas, mažesnio darbo krūvio nustatymo). Pagrindinės muziejaus veiklos sąnaudos yra priskiriamos „Ekonomikos“ ir  „Poilsio, kultūros ir religijos“ segmentams. Tai atsispindi 25 VSAFAS „Segmentai“ priede (Priedas Nr. 12).</w:t>
      </w:r>
    </w:p>
    <w:p w14:paraId="50E88051" w14:textId="77777777" w:rsidR="000E3CD7" w:rsidRPr="00175384" w:rsidRDefault="000E3CD7" w:rsidP="000E3CD7">
      <w:pPr>
        <w:spacing w:line="360" w:lineRule="auto"/>
        <w:ind w:firstLine="1260"/>
        <w:jc w:val="center"/>
        <w:rPr>
          <w:rFonts w:ascii="Times New Roman" w:hAnsi="Times New Roman" w:cs="Times New Roman"/>
          <w:b/>
          <w:bCs/>
        </w:rPr>
      </w:pPr>
      <w:r w:rsidRPr="00175384">
        <w:rPr>
          <w:rFonts w:ascii="Times New Roman" w:hAnsi="Times New Roman" w:cs="Times New Roman"/>
          <w:b/>
          <w:bCs/>
        </w:rPr>
        <w:t>PINIGŲ SRAUTŲ ATASKAITA</w:t>
      </w:r>
    </w:p>
    <w:p w14:paraId="028F7FD1"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14 pastaba. </w:t>
      </w:r>
      <w:r w:rsidRPr="00175384">
        <w:rPr>
          <w:rFonts w:ascii="Times New Roman" w:hAnsi="Times New Roman" w:cs="Times New Roman"/>
        </w:rPr>
        <w:t>Pagrindinės veiklos įplaukos sudaro 726186,26 Eur (tiesioginiai pinigų srautai ), t. y. gautos finansavimo sumos iš valstybės biudžeto, savivaldybės biudžeto ir kitų šaltinių. Įstaigos paslaugų ir prekių pirkimas yra finansuojamas iš savivaldybės, valstybės biudžetų pagal asignavimų valdytojų patvirtintas sąmatas, laikantis Finansų ministerijos nustatytų finansavimo taisyklių ir iždo procedūrų. Iš asignavimų valdytojų gautus biudžeto asignavimus muziejus naudoja racionaliai ir taupiai.</w:t>
      </w:r>
    </w:p>
    <w:p w14:paraId="562726FA"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b/>
          <w:bCs/>
        </w:rPr>
        <w:t xml:space="preserve">15 pastaba. </w:t>
      </w:r>
      <w:r w:rsidRPr="00175384">
        <w:rPr>
          <w:rFonts w:ascii="Times New Roman" w:hAnsi="Times New Roman" w:cs="Times New Roman"/>
        </w:rPr>
        <w:t>Muziejaus pagrindinės veiklos išmokos (361471,971 Eur), kaip ir sąnaudos yra priskiriamos segmentams „Ekonomika“ ir „Poilsis, kultūra ir religija“. Didžiausią išmokų dalį, kaip ir sąnaudų, sudaro darbo užmokesčio ir socialinio draudimo išmokos. Tai atsispindi 25 VSAFAS „Segmentai“ priede (Priedas Nr. 12).</w:t>
      </w:r>
    </w:p>
    <w:p w14:paraId="370F2B8D" w14:textId="77777777" w:rsidR="000E3CD7" w:rsidRPr="00175384" w:rsidRDefault="000E3CD7" w:rsidP="000E3CD7">
      <w:pPr>
        <w:spacing w:line="360" w:lineRule="auto"/>
        <w:ind w:firstLine="1260"/>
        <w:jc w:val="both"/>
        <w:rPr>
          <w:rFonts w:ascii="Times New Roman" w:hAnsi="Times New Roman" w:cs="Times New Roman"/>
        </w:rPr>
      </w:pPr>
      <w:r w:rsidRPr="00175384">
        <w:rPr>
          <w:rFonts w:ascii="Times New Roman" w:hAnsi="Times New Roman" w:cs="Times New Roman"/>
        </w:rPr>
        <w:t>Muziejaus metinių finansinių ataskaitų rinkinį sudaro šios ataskaitos:</w:t>
      </w:r>
    </w:p>
    <w:p w14:paraId="5C068BD3" w14:textId="77777777" w:rsidR="000E3CD7" w:rsidRPr="00175384" w:rsidRDefault="000E3CD7" w:rsidP="000E3CD7">
      <w:pPr>
        <w:tabs>
          <w:tab w:val="left" w:pos="567"/>
        </w:tabs>
        <w:spacing w:after="200" w:line="276" w:lineRule="auto"/>
        <w:ind w:left="567"/>
        <w:contextualSpacing/>
        <w:jc w:val="both"/>
        <w:rPr>
          <w:rFonts w:ascii="Times New Roman" w:hAnsi="Times New Roman" w:cs="Times New Roman"/>
        </w:rPr>
      </w:pPr>
      <w:r w:rsidRPr="00175384">
        <w:rPr>
          <w:rFonts w:ascii="Times New Roman" w:hAnsi="Times New Roman" w:cs="Times New Roman"/>
        </w:rPr>
        <w:tab/>
        <w:t>2-ojo VSAFAS „Finansinės būklės ataskaita“ 2 priedas;</w:t>
      </w:r>
    </w:p>
    <w:p w14:paraId="022F020F" w14:textId="77777777" w:rsidR="000E3CD7" w:rsidRPr="00175384" w:rsidRDefault="000E3CD7" w:rsidP="000E3CD7">
      <w:pPr>
        <w:tabs>
          <w:tab w:val="left" w:pos="567"/>
        </w:tabs>
        <w:spacing w:after="200" w:line="276" w:lineRule="auto"/>
        <w:ind w:left="567"/>
        <w:contextualSpacing/>
        <w:jc w:val="both"/>
        <w:rPr>
          <w:rFonts w:ascii="Times New Roman" w:hAnsi="Times New Roman" w:cs="Times New Roman"/>
        </w:rPr>
      </w:pPr>
      <w:r w:rsidRPr="00175384">
        <w:rPr>
          <w:rFonts w:ascii="Times New Roman" w:hAnsi="Times New Roman" w:cs="Times New Roman"/>
        </w:rPr>
        <w:tab/>
        <w:t xml:space="preserve">3-iojo VSAFAS „Veiklos rezultatų ataskaita“ 2 priedas; </w:t>
      </w:r>
    </w:p>
    <w:p w14:paraId="606EBC35" w14:textId="77777777" w:rsidR="000E3CD7" w:rsidRPr="00175384" w:rsidRDefault="000E3CD7" w:rsidP="000E3CD7">
      <w:pPr>
        <w:tabs>
          <w:tab w:val="left" w:pos="567"/>
        </w:tabs>
        <w:spacing w:after="200" w:line="276" w:lineRule="auto"/>
        <w:ind w:left="567"/>
        <w:contextualSpacing/>
        <w:jc w:val="both"/>
        <w:rPr>
          <w:rFonts w:ascii="Times New Roman" w:hAnsi="Times New Roman" w:cs="Times New Roman"/>
        </w:rPr>
      </w:pPr>
      <w:r w:rsidRPr="00175384">
        <w:rPr>
          <w:rFonts w:ascii="Times New Roman" w:hAnsi="Times New Roman" w:cs="Times New Roman"/>
        </w:rPr>
        <w:tab/>
        <w:t>4-ojo VSAFAS „Grynojo turto pokyčių ataskaita“ 1 priedas;</w:t>
      </w:r>
    </w:p>
    <w:p w14:paraId="13373764" w14:textId="77777777" w:rsidR="000E3CD7" w:rsidRPr="00175384" w:rsidRDefault="000E3CD7" w:rsidP="000E3CD7">
      <w:pPr>
        <w:tabs>
          <w:tab w:val="left" w:pos="567"/>
        </w:tabs>
        <w:spacing w:after="200" w:line="276" w:lineRule="auto"/>
        <w:ind w:left="927"/>
        <w:contextualSpacing/>
        <w:jc w:val="both"/>
        <w:rPr>
          <w:rFonts w:ascii="Times New Roman" w:hAnsi="Times New Roman" w:cs="Times New Roman"/>
        </w:rPr>
      </w:pPr>
      <w:r w:rsidRPr="00175384">
        <w:rPr>
          <w:rFonts w:ascii="Times New Roman" w:hAnsi="Times New Roman" w:cs="Times New Roman"/>
        </w:rPr>
        <w:tab/>
        <w:t xml:space="preserve">5-ojo VSAFAS „Pinigų srautų ataskaita“ 2 priedas; </w:t>
      </w:r>
    </w:p>
    <w:p w14:paraId="4854C4A7" w14:textId="77777777" w:rsidR="000E3CD7" w:rsidRPr="00175384" w:rsidRDefault="000E3CD7" w:rsidP="000E3CD7">
      <w:pPr>
        <w:tabs>
          <w:tab w:val="left" w:pos="567"/>
        </w:tabs>
        <w:spacing w:after="200" w:line="276" w:lineRule="auto"/>
        <w:contextualSpacing/>
        <w:jc w:val="both"/>
        <w:rPr>
          <w:rFonts w:ascii="Times New Roman" w:hAnsi="Times New Roman" w:cs="Times New Roman"/>
        </w:rPr>
      </w:pPr>
      <w:r w:rsidRPr="00175384">
        <w:rPr>
          <w:rFonts w:ascii="Times New Roman" w:hAnsi="Times New Roman" w:cs="Times New Roman"/>
        </w:rPr>
        <w:lastRenderedPageBreak/>
        <w:t xml:space="preserve">                      8-ojo VSAFAS „Atsargos“ 7 priedas;</w:t>
      </w:r>
    </w:p>
    <w:p w14:paraId="770925E3" w14:textId="77777777" w:rsidR="000E3CD7" w:rsidRPr="00175384" w:rsidRDefault="000E3CD7" w:rsidP="000E3CD7">
      <w:pPr>
        <w:tabs>
          <w:tab w:val="left" w:pos="567"/>
        </w:tabs>
        <w:spacing w:after="200" w:line="276" w:lineRule="auto"/>
        <w:ind w:left="927"/>
        <w:contextualSpacing/>
        <w:jc w:val="both"/>
        <w:rPr>
          <w:rFonts w:ascii="Times New Roman" w:hAnsi="Times New Roman" w:cs="Times New Roman"/>
        </w:rPr>
      </w:pPr>
      <w:r w:rsidRPr="00175384">
        <w:rPr>
          <w:rFonts w:ascii="Times New Roman" w:hAnsi="Times New Roman" w:cs="Times New Roman"/>
        </w:rPr>
        <w:t xml:space="preserve">      12-ojo VSAFAS „Ilgalaikis materialusis turtas“ 1 priedas;</w:t>
      </w:r>
    </w:p>
    <w:p w14:paraId="34FF72E5" w14:textId="77777777" w:rsidR="000E3CD7" w:rsidRPr="00175384" w:rsidRDefault="000E3CD7" w:rsidP="000E3CD7">
      <w:pPr>
        <w:tabs>
          <w:tab w:val="left" w:pos="567"/>
        </w:tabs>
        <w:spacing w:after="200" w:line="276" w:lineRule="auto"/>
        <w:ind w:left="927"/>
        <w:contextualSpacing/>
        <w:jc w:val="both"/>
        <w:rPr>
          <w:rFonts w:ascii="Times New Roman" w:hAnsi="Times New Roman" w:cs="Times New Roman"/>
        </w:rPr>
      </w:pPr>
      <w:r w:rsidRPr="00175384">
        <w:rPr>
          <w:rFonts w:ascii="Times New Roman" w:hAnsi="Times New Roman" w:cs="Times New Roman"/>
        </w:rPr>
        <w:t xml:space="preserve">      12-ojo VSAFAS „Ilgalaikis materialusis turtas“ 2 priedas;</w:t>
      </w:r>
    </w:p>
    <w:p w14:paraId="46E797BA" w14:textId="77777777" w:rsidR="000E3CD7" w:rsidRPr="00175384" w:rsidRDefault="000E3CD7" w:rsidP="000E3CD7">
      <w:pPr>
        <w:tabs>
          <w:tab w:val="left" w:pos="567"/>
        </w:tabs>
        <w:spacing w:after="200" w:line="276" w:lineRule="auto"/>
        <w:ind w:left="927"/>
        <w:contextualSpacing/>
        <w:jc w:val="both"/>
        <w:rPr>
          <w:rFonts w:ascii="Times New Roman" w:hAnsi="Times New Roman" w:cs="Times New Roman"/>
        </w:rPr>
      </w:pPr>
      <w:r w:rsidRPr="00175384">
        <w:rPr>
          <w:rFonts w:ascii="Times New Roman" w:hAnsi="Times New Roman" w:cs="Times New Roman"/>
        </w:rPr>
        <w:t xml:space="preserve">      13-ojo VSAFAS „Nematerialusis turtas“ 1 priedas;</w:t>
      </w:r>
    </w:p>
    <w:p w14:paraId="3DB4A0EC" w14:textId="77777777" w:rsidR="000E3CD7" w:rsidRPr="00175384" w:rsidRDefault="000E3CD7" w:rsidP="000E3CD7">
      <w:pPr>
        <w:tabs>
          <w:tab w:val="left" w:pos="567"/>
        </w:tabs>
        <w:spacing w:after="200" w:line="276" w:lineRule="auto"/>
        <w:contextualSpacing/>
        <w:jc w:val="both"/>
        <w:rPr>
          <w:rFonts w:ascii="Times New Roman" w:hAnsi="Times New Roman" w:cs="Times New Roman"/>
        </w:rPr>
      </w:pPr>
      <w:r w:rsidRPr="00175384">
        <w:rPr>
          <w:rFonts w:ascii="Times New Roman" w:hAnsi="Times New Roman" w:cs="Times New Roman"/>
        </w:rPr>
        <w:tab/>
      </w:r>
      <w:r w:rsidRPr="00175384">
        <w:rPr>
          <w:rFonts w:ascii="Times New Roman" w:hAnsi="Times New Roman" w:cs="Times New Roman"/>
        </w:rPr>
        <w:tab/>
        <w:t>17-ojo VSAFAS „Finansinis turtas ir finansiniai įsipareigojimai“, 7 priedas;</w:t>
      </w:r>
    </w:p>
    <w:p w14:paraId="558E5C38" w14:textId="77777777" w:rsidR="000E3CD7" w:rsidRPr="00175384" w:rsidRDefault="000E3CD7" w:rsidP="000E3CD7">
      <w:pPr>
        <w:tabs>
          <w:tab w:val="left" w:pos="567"/>
        </w:tabs>
        <w:spacing w:after="200" w:line="276" w:lineRule="auto"/>
        <w:contextualSpacing/>
        <w:jc w:val="both"/>
        <w:rPr>
          <w:rFonts w:ascii="Times New Roman" w:hAnsi="Times New Roman" w:cs="Times New Roman"/>
        </w:rPr>
      </w:pPr>
      <w:r w:rsidRPr="00175384">
        <w:rPr>
          <w:rFonts w:ascii="Times New Roman" w:hAnsi="Times New Roman" w:cs="Times New Roman"/>
        </w:rPr>
        <w:tab/>
      </w:r>
      <w:r w:rsidRPr="00175384">
        <w:rPr>
          <w:rFonts w:ascii="Times New Roman" w:hAnsi="Times New Roman" w:cs="Times New Roman"/>
        </w:rPr>
        <w:tab/>
        <w:t>17-ojo VSAFAS „Finansinis turtas ir finansiniai įsipareigojimai“, 8 priedas;</w:t>
      </w:r>
    </w:p>
    <w:p w14:paraId="5174AC0E" w14:textId="77777777" w:rsidR="000E3CD7" w:rsidRPr="00175384" w:rsidRDefault="000E3CD7" w:rsidP="000E3CD7">
      <w:pPr>
        <w:tabs>
          <w:tab w:val="left" w:pos="567"/>
        </w:tabs>
        <w:spacing w:after="200" w:line="276" w:lineRule="auto"/>
        <w:contextualSpacing/>
        <w:jc w:val="both"/>
        <w:rPr>
          <w:rFonts w:ascii="Times New Roman" w:hAnsi="Times New Roman" w:cs="Times New Roman"/>
        </w:rPr>
      </w:pPr>
      <w:r w:rsidRPr="00175384">
        <w:rPr>
          <w:rFonts w:ascii="Times New Roman" w:hAnsi="Times New Roman" w:cs="Times New Roman"/>
        </w:rPr>
        <w:tab/>
        <w:t xml:space="preserve">             17-ojo VSAFAS „Finansinis turtas ir finansiniai įsipareigojimai“11 priedas</w:t>
      </w:r>
      <w:r w:rsidRPr="00175384">
        <w:rPr>
          <w:rFonts w:ascii="Times New Roman" w:hAnsi="Times New Roman" w:cs="Times New Roman"/>
        </w:rPr>
        <w:tab/>
      </w:r>
    </w:p>
    <w:p w14:paraId="03F97B84" w14:textId="77777777" w:rsidR="000E3CD7" w:rsidRPr="00175384" w:rsidRDefault="000E3CD7" w:rsidP="000E3CD7">
      <w:pPr>
        <w:tabs>
          <w:tab w:val="left" w:pos="567"/>
        </w:tabs>
        <w:spacing w:after="200" w:line="276" w:lineRule="auto"/>
        <w:ind w:left="567"/>
        <w:contextualSpacing/>
        <w:jc w:val="both"/>
        <w:rPr>
          <w:rFonts w:ascii="Times New Roman" w:hAnsi="Times New Roman" w:cs="Times New Roman"/>
          <w:color w:val="000000"/>
        </w:rPr>
      </w:pPr>
      <w:r w:rsidRPr="00175384">
        <w:rPr>
          <w:rFonts w:ascii="Times New Roman" w:hAnsi="Times New Roman" w:cs="Times New Roman"/>
          <w:color w:val="000000"/>
        </w:rPr>
        <w:t xml:space="preserve">             20-ojo VSAFAS „Finansavimo sumos“ 4 priedas;</w:t>
      </w:r>
    </w:p>
    <w:p w14:paraId="1504360C" w14:textId="77777777" w:rsidR="000E3CD7" w:rsidRPr="00175384" w:rsidRDefault="000E3CD7" w:rsidP="000E3CD7">
      <w:pPr>
        <w:tabs>
          <w:tab w:val="left" w:pos="567"/>
        </w:tabs>
        <w:spacing w:after="200" w:line="276" w:lineRule="auto"/>
        <w:ind w:left="567"/>
        <w:contextualSpacing/>
        <w:jc w:val="both"/>
        <w:rPr>
          <w:rFonts w:ascii="Times New Roman" w:hAnsi="Times New Roman" w:cs="Times New Roman"/>
        </w:rPr>
      </w:pPr>
      <w:r w:rsidRPr="00175384">
        <w:rPr>
          <w:rFonts w:ascii="Times New Roman" w:hAnsi="Times New Roman" w:cs="Times New Roman"/>
          <w:color w:val="000000"/>
        </w:rPr>
        <w:t xml:space="preserve">             20-ojo VSAFAS „Finansavimo sumos“ 5 priedas;</w:t>
      </w:r>
    </w:p>
    <w:p w14:paraId="5D9A1B96" w14:textId="77777777" w:rsidR="000E3CD7" w:rsidRPr="00175384" w:rsidRDefault="000E3CD7" w:rsidP="000E3CD7">
      <w:pPr>
        <w:tabs>
          <w:tab w:val="left" w:pos="567"/>
        </w:tabs>
        <w:spacing w:after="200" w:line="276" w:lineRule="auto"/>
        <w:contextualSpacing/>
        <w:jc w:val="both"/>
        <w:rPr>
          <w:rFonts w:ascii="Times New Roman" w:hAnsi="Times New Roman" w:cs="Times New Roman"/>
        </w:rPr>
      </w:pPr>
      <w:r w:rsidRPr="00175384">
        <w:rPr>
          <w:rFonts w:ascii="Times New Roman" w:hAnsi="Times New Roman" w:cs="Times New Roman"/>
          <w:color w:val="000000"/>
        </w:rPr>
        <w:t xml:space="preserve">                      25-ojo VSAFAS „Segmentai“ priedas.</w:t>
      </w:r>
    </w:p>
    <w:p w14:paraId="7C21304A" w14:textId="77777777" w:rsidR="000E3CD7" w:rsidRDefault="000E3CD7" w:rsidP="000E3CD7">
      <w:pPr>
        <w:spacing w:line="360" w:lineRule="auto"/>
        <w:ind w:firstLine="1260"/>
        <w:jc w:val="both"/>
        <w:rPr>
          <w:b/>
          <w:bCs/>
        </w:rPr>
      </w:pPr>
    </w:p>
    <w:p w14:paraId="20468F2E" w14:textId="77777777" w:rsidR="000E3CD7" w:rsidRPr="005D582B" w:rsidRDefault="000E3CD7" w:rsidP="000E3CD7">
      <w:pPr>
        <w:spacing w:line="360" w:lineRule="auto"/>
        <w:ind w:firstLine="1260"/>
        <w:jc w:val="both"/>
        <w:rPr>
          <w:b/>
          <w:bCs/>
        </w:rPr>
      </w:pPr>
    </w:p>
    <w:p w14:paraId="4DEF9AC5" w14:textId="77777777" w:rsidR="000E3CD7" w:rsidRDefault="000E3CD7" w:rsidP="000E3CD7">
      <w:pPr>
        <w:tabs>
          <w:tab w:val="left" w:pos="1260"/>
          <w:tab w:val="left" w:pos="6466"/>
        </w:tabs>
        <w:spacing w:line="360" w:lineRule="auto"/>
        <w:jc w:val="both"/>
      </w:pPr>
      <w:r w:rsidRPr="00590ED0">
        <w:rPr>
          <w:color w:val="FF0000"/>
        </w:rPr>
        <w:tab/>
      </w:r>
      <w:r>
        <w:t xml:space="preserve"> </w:t>
      </w:r>
    </w:p>
    <w:p w14:paraId="7C116735" w14:textId="77777777" w:rsidR="000E3CD7" w:rsidRPr="00175384" w:rsidRDefault="000E3CD7" w:rsidP="000E3CD7">
      <w:pPr>
        <w:tabs>
          <w:tab w:val="left" w:pos="1260"/>
          <w:tab w:val="left" w:pos="6466"/>
        </w:tabs>
        <w:spacing w:line="360" w:lineRule="auto"/>
        <w:jc w:val="both"/>
        <w:rPr>
          <w:rFonts w:ascii="Times New Roman" w:hAnsi="Times New Roman" w:cs="Times New Roman"/>
        </w:rPr>
      </w:pPr>
      <w:r w:rsidRPr="00175384">
        <w:rPr>
          <w:rFonts w:ascii="Times New Roman" w:hAnsi="Times New Roman" w:cs="Times New Roman"/>
        </w:rPr>
        <w:t xml:space="preserve">                      Direktorė</w:t>
      </w:r>
      <w:r w:rsidRPr="00175384">
        <w:rPr>
          <w:rFonts w:ascii="Times New Roman" w:hAnsi="Times New Roman" w:cs="Times New Roman"/>
        </w:rPr>
        <w:tab/>
        <w:t xml:space="preserve"> Viktorija </w:t>
      </w:r>
      <w:proofErr w:type="spellStart"/>
      <w:r w:rsidRPr="00175384">
        <w:rPr>
          <w:rFonts w:ascii="Times New Roman" w:hAnsi="Times New Roman" w:cs="Times New Roman"/>
        </w:rPr>
        <w:t>Savukienė</w:t>
      </w:r>
      <w:proofErr w:type="spellEnd"/>
    </w:p>
    <w:p w14:paraId="42B14ED2" w14:textId="77777777" w:rsidR="000E3CD7" w:rsidRPr="00175384" w:rsidRDefault="000E3CD7" w:rsidP="000E3CD7">
      <w:pPr>
        <w:tabs>
          <w:tab w:val="left" w:pos="1260"/>
          <w:tab w:val="left" w:pos="6466"/>
        </w:tabs>
        <w:spacing w:line="360" w:lineRule="auto"/>
        <w:jc w:val="both"/>
        <w:rPr>
          <w:rFonts w:ascii="Times New Roman" w:hAnsi="Times New Roman" w:cs="Times New Roman"/>
        </w:rPr>
      </w:pPr>
      <w:r w:rsidRPr="00175384">
        <w:rPr>
          <w:rFonts w:ascii="Times New Roman" w:hAnsi="Times New Roman" w:cs="Times New Roman"/>
        </w:rPr>
        <w:tab/>
      </w:r>
    </w:p>
    <w:p w14:paraId="27299DCA" w14:textId="77777777" w:rsidR="000E3CD7" w:rsidRPr="00175384" w:rsidRDefault="000E3CD7" w:rsidP="000E3CD7">
      <w:pPr>
        <w:tabs>
          <w:tab w:val="left" w:pos="1260"/>
          <w:tab w:val="left" w:pos="6466"/>
        </w:tabs>
        <w:spacing w:line="360" w:lineRule="auto"/>
        <w:jc w:val="both"/>
        <w:rPr>
          <w:rFonts w:ascii="Times New Roman" w:hAnsi="Times New Roman" w:cs="Times New Roman"/>
        </w:rPr>
      </w:pPr>
      <w:r w:rsidRPr="00175384">
        <w:rPr>
          <w:rFonts w:ascii="Times New Roman" w:hAnsi="Times New Roman" w:cs="Times New Roman"/>
        </w:rPr>
        <w:t xml:space="preserve">                      Vyresnioji buhalterė</w:t>
      </w:r>
      <w:r w:rsidRPr="00175384">
        <w:rPr>
          <w:rFonts w:ascii="Times New Roman" w:hAnsi="Times New Roman" w:cs="Times New Roman"/>
        </w:rPr>
        <w:tab/>
      </w:r>
      <w:r w:rsidRPr="00175384">
        <w:rPr>
          <w:rFonts w:ascii="Times New Roman" w:hAnsi="Times New Roman" w:cs="Times New Roman"/>
        </w:rPr>
        <w:tab/>
        <w:t xml:space="preserve">   Vilma </w:t>
      </w:r>
      <w:proofErr w:type="spellStart"/>
      <w:r w:rsidRPr="00175384">
        <w:rPr>
          <w:rFonts w:ascii="Times New Roman" w:hAnsi="Times New Roman" w:cs="Times New Roman"/>
        </w:rPr>
        <w:t>Stašiauskienė</w:t>
      </w:r>
      <w:proofErr w:type="spellEnd"/>
    </w:p>
    <w:p w14:paraId="02971D83" w14:textId="77777777" w:rsidR="000E3CD7" w:rsidRDefault="000E3CD7" w:rsidP="000E3CD7"/>
    <w:p w14:paraId="3A2C8C2B" w14:textId="1C91EB3C" w:rsidR="00126314" w:rsidRDefault="00126314"/>
    <w:sectPr w:rsidR="00126314" w:rsidSect="00BA0E8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324"/>
    <w:multiLevelType w:val="hybridMultilevel"/>
    <w:tmpl w:val="BC6AC968"/>
    <w:lvl w:ilvl="0" w:tplc="DCBCD4BC">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cs="Wingdings" w:hint="default"/>
      </w:rPr>
    </w:lvl>
    <w:lvl w:ilvl="3" w:tplc="04270001" w:tentative="1">
      <w:start w:val="1"/>
      <w:numFmt w:val="bullet"/>
      <w:lvlText w:val=""/>
      <w:lvlJc w:val="left"/>
      <w:pPr>
        <w:ind w:left="3816" w:hanging="360"/>
      </w:pPr>
      <w:rPr>
        <w:rFonts w:ascii="Symbol" w:hAnsi="Symbol" w:cs="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cs="Wingdings" w:hint="default"/>
      </w:rPr>
    </w:lvl>
    <w:lvl w:ilvl="6" w:tplc="04270001" w:tentative="1">
      <w:start w:val="1"/>
      <w:numFmt w:val="bullet"/>
      <w:lvlText w:val=""/>
      <w:lvlJc w:val="left"/>
      <w:pPr>
        <w:ind w:left="5976" w:hanging="360"/>
      </w:pPr>
      <w:rPr>
        <w:rFonts w:ascii="Symbol" w:hAnsi="Symbol" w:cs="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cs="Wingdings" w:hint="default"/>
      </w:rPr>
    </w:lvl>
  </w:abstractNum>
  <w:abstractNum w:abstractNumId="1" w15:restartNumberingAfterBreak="0">
    <w:nsid w:val="26926CF6"/>
    <w:multiLevelType w:val="hybridMultilevel"/>
    <w:tmpl w:val="39F6FEFA"/>
    <w:lvl w:ilvl="0" w:tplc="DB7A94A6">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num w:numId="1" w16cid:durableId="395980343">
    <w:abstractNumId w:val="1"/>
  </w:num>
  <w:num w:numId="2" w16cid:durableId="98909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14"/>
    <w:rsid w:val="00030E64"/>
    <w:rsid w:val="000449F4"/>
    <w:rsid w:val="00053FE9"/>
    <w:rsid w:val="00095664"/>
    <w:rsid w:val="000D09AF"/>
    <w:rsid w:val="000E3CD7"/>
    <w:rsid w:val="001244C2"/>
    <w:rsid w:val="00126314"/>
    <w:rsid w:val="00172578"/>
    <w:rsid w:val="00187D26"/>
    <w:rsid w:val="001B7840"/>
    <w:rsid w:val="001E05F9"/>
    <w:rsid w:val="0025302E"/>
    <w:rsid w:val="002579B6"/>
    <w:rsid w:val="002E2796"/>
    <w:rsid w:val="00412514"/>
    <w:rsid w:val="0043736F"/>
    <w:rsid w:val="00475010"/>
    <w:rsid w:val="00521A28"/>
    <w:rsid w:val="00551BFD"/>
    <w:rsid w:val="00615C00"/>
    <w:rsid w:val="006731FF"/>
    <w:rsid w:val="006C12DB"/>
    <w:rsid w:val="006E7DF0"/>
    <w:rsid w:val="00741835"/>
    <w:rsid w:val="00812871"/>
    <w:rsid w:val="00821582"/>
    <w:rsid w:val="0085477E"/>
    <w:rsid w:val="008E5DD8"/>
    <w:rsid w:val="00973B43"/>
    <w:rsid w:val="00A16498"/>
    <w:rsid w:val="00A742F3"/>
    <w:rsid w:val="00B619E5"/>
    <w:rsid w:val="00B97E8B"/>
    <w:rsid w:val="00BA0E87"/>
    <w:rsid w:val="00C41056"/>
    <w:rsid w:val="00C6200F"/>
    <w:rsid w:val="00D41936"/>
    <w:rsid w:val="00D76AA3"/>
    <w:rsid w:val="00E2109A"/>
    <w:rsid w:val="00E64634"/>
    <w:rsid w:val="00F24E84"/>
    <w:rsid w:val="00F83EA6"/>
    <w:rsid w:val="00FA6ED5"/>
    <w:rsid w:val="00FC7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17CE"/>
  <w15:chartTrackingRefBased/>
  <w15:docId w15:val="{BDB36FA3-AB8B-449A-B489-802A4539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6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3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3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3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3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3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3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3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3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3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3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3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3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3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3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3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3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3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3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3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3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314"/>
    <w:rPr>
      <w:i/>
      <w:iCs/>
      <w:color w:val="404040" w:themeColor="text1" w:themeTint="BF"/>
    </w:rPr>
  </w:style>
  <w:style w:type="paragraph" w:styleId="Sraopastraipa">
    <w:name w:val="List Paragraph"/>
    <w:basedOn w:val="prastasis"/>
    <w:uiPriority w:val="34"/>
    <w:qFormat/>
    <w:rsid w:val="00126314"/>
    <w:pPr>
      <w:ind w:left="720"/>
      <w:contextualSpacing/>
    </w:pPr>
  </w:style>
  <w:style w:type="character" w:styleId="Rykuspabraukimas">
    <w:name w:val="Intense Emphasis"/>
    <w:basedOn w:val="Numatytasispastraiposriftas"/>
    <w:uiPriority w:val="21"/>
    <w:qFormat/>
    <w:rsid w:val="00126314"/>
    <w:rPr>
      <w:i/>
      <w:iCs/>
      <w:color w:val="0F4761" w:themeColor="accent1" w:themeShade="BF"/>
    </w:rPr>
  </w:style>
  <w:style w:type="paragraph" w:styleId="Iskirtacitata">
    <w:name w:val="Intense Quote"/>
    <w:basedOn w:val="prastasis"/>
    <w:next w:val="prastasis"/>
    <w:link w:val="IskirtacitataDiagrama"/>
    <w:uiPriority w:val="30"/>
    <w:qFormat/>
    <w:rsid w:val="00126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314"/>
    <w:rPr>
      <w:i/>
      <w:iCs/>
      <w:color w:val="0F4761" w:themeColor="accent1" w:themeShade="BF"/>
    </w:rPr>
  </w:style>
  <w:style w:type="character" w:styleId="Rykinuoroda">
    <w:name w:val="Intense Reference"/>
    <w:basedOn w:val="Numatytasispastraiposriftas"/>
    <w:uiPriority w:val="32"/>
    <w:qFormat/>
    <w:rsid w:val="00126314"/>
    <w:rPr>
      <w:b/>
      <w:bCs/>
      <w:smallCaps/>
      <w:color w:val="0F4761" w:themeColor="accent1" w:themeShade="BF"/>
      <w:spacing w:val="5"/>
    </w:rPr>
  </w:style>
  <w:style w:type="table" w:styleId="Lentelstinklelis">
    <w:name w:val="Table Grid"/>
    <w:basedOn w:val="prastojilentel"/>
    <w:uiPriority w:val="39"/>
    <w:rsid w:val="0074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9606</Words>
  <Characters>5476</Characters>
  <Application>Microsoft Office Word</Application>
  <DocSecurity>0</DocSecurity>
  <Lines>45</Lines>
  <Paragraphs>30</Paragraphs>
  <ScaleCrop>false</ScaleCrop>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Urbanskė</dc:creator>
  <cp:keywords/>
  <dc:description/>
  <cp:lastModifiedBy>Giedrė Urbanskė</cp:lastModifiedBy>
  <cp:revision>42</cp:revision>
  <dcterms:created xsi:type="dcterms:W3CDTF">2026-03-19T06:58:00Z</dcterms:created>
  <dcterms:modified xsi:type="dcterms:W3CDTF">2026-03-19T07:48:00Z</dcterms:modified>
</cp:coreProperties>
</file>